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357DA" w14:textId="77777777" w:rsidR="00986DF7" w:rsidRPr="00A87C80" w:rsidRDefault="00986DF7" w:rsidP="00986DF7">
      <w:pPr>
        <w:jc w:val="both"/>
        <w:rPr>
          <w:rFonts w:ascii="Verdana" w:hAnsi="Verdana"/>
        </w:rPr>
      </w:pPr>
      <w:r w:rsidRPr="00A87C80">
        <w:rPr>
          <w:rFonts w:ascii="Verdana" w:hAnsi="Verdana"/>
          <w:highlight w:val="yellow"/>
        </w:rPr>
        <w:t>Persönliche Angaben</w:t>
      </w:r>
    </w:p>
    <w:p w14:paraId="21FE19F8" w14:textId="77777777" w:rsidR="00986DF7" w:rsidRPr="00A87C80" w:rsidRDefault="00986DF7" w:rsidP="00986DF7">
      <w:pPr>
        <w:jc w:val="both"/>
        <w:rPr>
          <w:rFonts w:ascii="Verdana" w:hAnsi="Verdana"/>
        </w:rPr>
      </w:pPr>
    </w:p>
    <w:p w14:paraId="2C36F56B" w14:textId="77777777" w:rsidR="00986DF7" w:rsidRPr="00A87C80" w:rsidRDefault="00986DF7" w:rsidP="00986DF7">
      <w:pPr>
        <w:jc w:val="both"/>
        <w:rPr>
          <w:rFonts w:ascii="Verdana" w:hAnsi="Verdana"/>
        </w:rPr>
      </w:pPr>
    </w:p>
    <w:p w14:paraId="5170835A" w14:textId="0002A376" w:rsidR="00986DF7" w:rsidRPr="00A87C80" w:rsidRDefault="002D3F72" w:rsidP="00986DF7">
      <w:pPr>
        <w:jc w:val="both"/>
        <w:rPr>
          <w:rFonts w:ascii="Verdana" w:hAnsi="Verdana"/>
        </w:rPr>
      </w:pPr>
      <w:r w:rsidRPr="00A87C80">
        <w:rPr>
          <w:rFonts w:ascii="Verdana" w:hAnsi="Verdan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6BF028" wp14:editId="438FF161">
                <wp:simplePos x="0" y="0"/>
                <wp:positionH relativeFrom="margin">
                  <wp:align>left</wp:align>
                </wp:positionH>
                <wp:positionV relativeFrom="paragraph">
                  <wp:posOffset>345440</wp:posOffset>
                </wp:positionV>
                <wp:extent cx="2377440" cy="1149350"/>
                <wp:effectExtent l="0" t="0" r="0" b="0"/>
                <wp:wrapTopAndBottom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114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8705F" w14:textId="77777777" w:rsidR="00986DF7" w:rsidRPr="00A87C80" w:rsidRDefault="00986DF7" w:rsidP="00986DF7">
                            <w:pPr>
                              <w:rPr>
                                <w:rFonts w:ascii="Verdana" w:hAnsi="Verdana"/>
                                <w:highlight w:val="yellow"/>
                              </w:rPr>
                            </w:pPr>
                            <w:bookmarkStart w:id="0" w:name="_Hlk161323411"/>
                            <w:bookmarkEnd w:id="0"/>
                            <w:r w:rsidRPr="00A87C80">
                              <w:rPr>
                                <w:rFonts w:ascii="Verdana" w:hAnsi="Verdana"/>
                                <w:highlight w:val="yellow"/>
                              </w:rPr>
                              <w:t>Angaben Krankenkasse</w:t>
                            </w:r>
                          </w:p>
                          <w:p w14:paraId="184BA9E1" w14:textId="77777777" w:rsidR="00986DF7" w:rsidRPr="00A87C80" w:rsidRDefault="00986DF7" w:rsidP="00986DF7">
                            <w:pPr>
                              <w:rPr>
                                <w:rFonts w:ascii="Verdana" w:hAnsi="Verdana"/>
                              </w:rPr>
                            </w:pPr>
                            <w:r w:rsidRPr="00A87C80">
                              <w:rPr>
                                <w:rFonts w:ascii="Verdana" w:hAnsi="Verdana"/>
                                <w:highlight w:val="yellow"/>
                              </w:rPr>
                              <w:t>Vertrauensärztlicher Dienst</w:t>
                            </w:r>
                          </w:p>
                          <w:p w14:paraId="29C0ED83" w14:textId="1A6D5411" w:rsidR="00986DF7" w:rsidRPr="00A87C80" w:rsidRDefault="00986DF7" w:rsidP="00986DF7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14:paraId="69648D15" w14:textId="030648F7" w:rsidR="00986DF7" w:rsidRPr="00A87C80" w:rsidRDefault="0037605C" w:rsidP="00986DF7">
                            <w:pPr>
                              <w:rPr>
                                <w:rFonts w:ascii="Verdana" w:hAnsi="Verdana"/>
                              </w:rPr>
                            </w:pPr>
                            <w:r w:rsidRPr="0037605C">
                              <w:rPr>
                                <w:rFonts w:ascii="Verdana" w:hAnsi="Verdana"/>
                                <w:noProof/>
                                <w:highlight w:val="yellow"/>
                              </w:rPr>
                              <w:t>Ort, Datum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6BF02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0;margin-top:27.2pt;width:187.2pt;height:90.5pt;z-index:251659264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" stroked="f">
                <v:textbox>
                  <w:txbxContent>
                    <w:p w14:paraId="0788705F" w14:textId="77777777" w:rsidR="00986DF7" w:rsidRPr="00A87C80" w:rsidRDefault="00986DF7" w:rsidP="00986DF7">
                      <w:pPr>
                        <w:rPr>
                          <w:rFonts w:ascii="Verdana" w:hAnsi="Verdana"/>
                          <w:highlight w:val="yellow"/>
                        </w:rPr>
                      </w:pPr>
                      <w:bookmarkStart w:id="1" w:name="_Hlk161323411"/>
                      <w:bookmarkEnd w:id="1"/>
                      <w:r w:rsidRPr="00A87C80">
                        <w:rPr>
                          <w:rFonts w:ascii="Verdana" w:hAnsi="Verdana"/>
                          <w:highlight w:val="yellow"/>
                        </w:rPr>
                        <w:t>Angaben Krankenkasse</w:t>
                      </w:r>
                    </w:p>
                    <w:p w14:paraId="184BA9E1" w14:textId="77777777" w:rsidR="00986DF7" w:rsidRPr="00A87C80" w:rsidRDefault="00986DF7" w:rsidP="00986DF7">
                      <w:pPr>
                        <w:rPr>
                          <w:rFonts w:ascii="Verdana" w:hAnsi="Verdana"/>
                        </w:rPr>
                      </w:pPr>
                      <w:r w:rsidRPr="00A87C80">
                        <w:rPr>
                          <w:rFonts w:ascii="Verdana" w:hAnsi="Verdana"/>
                          <w:highlight w:val="yellow"/>
                        </w:rPr>
                        <w:t>Vertrauensärztlicher Dienst</w:t>
                      </w:r>
                    </w:p>
                    <w:p w14:paraId="29C0ED83" w14:textId="1A6D5411" w:rsidR="00986DF7" w:rsidRPr="00A87C80" w:rsidRDefault="00986DF7" w:rsidP="00986DF7">
                      <w:pPr>
                        <w:rPr>
                          <w:rFonts w:ascii="Verdana" w:hAnsi="Verdana"/>
                        </w:rPr>
                      </w:pPr>
                    </w:p>
                    <w:p w14:paraId="69648D15" w14:textId="030648F7" w:rsidR="00986DF7" w:rsidRPr="00A87C80" w:rsidRDefault="0037605C" w:rsidP="00986DF7">
                      <w:pPr>
                        <w:rPr>
                          <w:rFonts w:ascii="Verdana" w:hAnsi="Verdana"/>
                        </w:rPr>
                      </w:pPr>
                      <w:r w:rsidRPr="0037605C">
                        <w:rPr>
                          <w:rFonts w:ascii="Verdana" w:hAnsi="Verdana"/>
                          <w:noProof/>
                          <w:highlight w:val="yellow"/>
                        </w:rPr>
                        <w:t>Ort, Datum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86DF7" w:rsidRPr="00A87C80">
        <w:rPr>
          <w:rFonts w:ascii="Verdana" w:hAnsi="Verdana"/>
        </w:rPr>
        <w:tab/>
      </w:r>
      <w:r w:rsidR="00986DF7" w:rsidRPr="00A87C80">
        <w:rPr>
          <w:rFonts w:ascii="Verdana" w:hAnsi="Verdana"/>
        </w:rPr>
        <w:tab/>
      </w:r>
      <w:r w:rsidR="00986DF7" w:rsidRPr="00A87C80">
        <w:rPr>
          <w:rFonts w:ascii="Verdana" w:hAnsi="Verdana"/>
        </w:rPr>
        <w:tab/>
      </w:r>
      <w:r w:rsidR="00986DF7" w:rsidRPr="00A87C80">
        <w:rPr>
          <w:rFonts w:ascii="Verdana" w:hAnsi="Verdana"/>
        </w:rPr>
        <w:tab/>
      </w:r>
      <w:r w:rsidR="00986DF7" w:rsidRPr="00A87C80">
        <w:rPr>
          <w:rFonts w:ascii="Verdana" w:hAnsi="Verdana"/>
        </w:rPr>
        <w:tab/>
      </w:r>
      <w:r w:rsidR="00986DF7" w:rsidRPr="00A87C80">
        <w:rPr>
          <w:rFonts w:ascii="Verdana" w:hAnsi="Verdana"/>
        </w:rPr>
        <w:tab/>
      </w:r>
      <w:r w:rsidR="00986DF7" w:rsidRPr="00A87C80">
        <w:rPr>
          <w:rFonts w:ascii="Verdana" w:hAnsi="Verdana"/>
          <w:highlight w:val="yellow"/>
        </w:rPr>
        <w:t>Telefonnummer</w:t>
      </w:r>
      <w:r w:rsidR="00A87C80">
        <w:rPr>
          <w:rFonts w:ascii="Verdana" w:hAnsi="Verdana"/>
          <w:highlight w:val="yellow"/>
        </w:rPr>
        <w:t xml:space="preserve"> </w:t>
      </w:r>
      <w:r w:rsidR="00986DF7" w:rsidRPr="00A87C80">
        <w:rPr>
          <w:rFonts w:ascii="Verdana" w:hAnsi="Verdana"/>
          <w:highlight w:val="yellow"/>
        </w:rPr>
        <w:t>Leitender Arzt/Oberarzt</w:t>
      </w:r>
    </w:p>
    <w:p w14:paraId="65B0F345" w14:textId="03C4BE43" w:rsidR="002C70A9" w:rsidRPr="004D56A6" w:rsidRDefault="002C70A9" w:rsidP="00623731">
      <w:pPr>
        <w:jc w:val="both"/>
        <w:rPr>
          <w:rFonts w:ascii="Verdana" w:hAnsi="Verdana" w:cstheme="minorHAnsi"/>
          <w:b/>
          <w:bCs/>
          <w:highlight w:val="yellow"/>
          <w:lang w:val="de-DE"/>
        </w:rPr>
      </w:pPr>
      <w:r w:rsidRPr="004D56A6">
        <w:rPr>
          <w:rFonts w:ascii="Verdana" w:hAnsi="Verdana" w:cstheme="minorHAnsi"/>
          <w:b/>
          <w:bCs/>
          <w:lang w:val="de-DE"/>
        </w:rPr>
        <w:t xml:space="preserve">Kostengutsprachegesuch </w:t>
      </w:r>
      <w:proofErr w:type="spellStart"/>
      <w:r w:rsidRPr="004D56A6">
        <w:rPr>
          <w:rFonts w:ascii="Verdana" w:hAnsi="Verdana" w:cstheme="minorHAnsi"/>
          <w:b/>
          <w:bCs/>
          <w:lang w:val="de-DE"/>
        </w:rPr>
        <w:t>gemäss</w:t>
      </w:r>
      <w:proofErr w:type="spellEnd"/>
      <w:r w:rsidRPr="004D56A6">
        <w:rPr>
          <w:rFonts w:ascii="Verdana" w:hAnsi="Verdana" w:cstheme="minorHAnsi"/>
          <w:b/>
          <w:bCs/>
          <w:lang w:val="de-DE"/>
        </w:rPr>
        <w:t xml:space="preserve"> KVV Art.71 für die Verabreichung von </w:t>
      </w:r>
      <w:proofErr w:type="spellStart"/>
      <w:r w:rsidRPr="004D56A6">
        <w:rPr>
          <w:rFonts w:ascii="Verdana" w:hAnsi="Verdana" w:cstheme="minorHAnsi"/>
          <w:b/>
          <w:bCs/>
          <w:lang w:val="de-DE"/>
        </w:rPr>
        <w:t>Imjudo</w:t>
      </w:r>
      <w:proofErr w:type="spellEnd"/>
      <w:r w:rsidRPr="004D56A6">
        <w:rPr>
          <w:rFonts w:ascii="Verdana" w:hAnsi="Verdana" w:cstheme="minorHAnsi"/>
          <w:b/>
          <w:bCs/>
          <w:lang w:val="de-DE"/>
        </w:rPr>
        <w:t xml:space="preserve">® (Tremelimumab) in Kombination mit </w:t>
      </w:r>
      <w:proofErr w:type="spellStart"/>
      <w:r w:rsidRPr="004D56A6">
        <w:rPr>
          <w:rFonts w:ascii="Verdana" w:hAnsi="Verdana" w:cstheme="minorHAnsi"/>
          <w:b/>
          <w:bCs/>
          <w:lang w:val="de-DE"/>
        </w:rPr>
        <w:t>Imfinzi</w:t>
      </w:r>
      <w:proofErr w:type="spellEnd"/>
      <w:r w:rsidRPr="004D56A6">
        <w:rPr>
          <w:rFonts w:ascii="Verdana" w:hAnsi="Verdana" w:cstheme="minorHAnsi"/>
          <w:b/>
          <w:bCs/>
          <w:lang w:val="de-DE"/>
        </w:rPr>
        <w:t xml:space="preserve">® (Durvalumab) wird </w:t>
      </w:r>
      <w:proofErr w:type="spellStart"/>
      <w:r w:rsidRPr="004D56A6">
        <w:rPr>
          <w:rFonts w:ascii="Verdana" w:hAnsi="Verdana" w:cstheme="minorHAnsi"/>
          <w:b/>
          <w:bCs/>
          <w:lang w:val="de-DE"/>
        </w:rPr>
        <w:t>gemäss</w:t>
      </w:r>
      <w:proofErr w:type="spellEnd"/>
      <w:r w:rsidRPr="004D56A6">
        <w:rPr>
          <w:rFonts w:ascii="Verdana" w:hAnsi="Verdana" w:cstheme="minorHAnsi"/>
          <w:b/>
          <w:bCs/>
          <w:lang w:val="de-DE"/>
        </w:rPr>
        <w:t xml:space="preserve"> Swissmedic Zulassung angewendet zur Behandlung von erwachsenen PatientInnen mit inoperablem hepatozellulärem Karzinom (</w:t>
      </w:r>
      <w:proofErr w:type="spellStart"/>
      <w:r w:rsidRPr="004D56A6">
        <w:rPr>
          <w:rFonts w:ascii="Verdana" w:hAnsi="Verdana" w:cstheme="minorHAnsi"/>
          <w:b/>
          <w:bCs/>
          <w:lang w:val="de-DE"/>
        </w:rPr>
        <w:t>uHCC</w:t>
      </w:r>
      <w:proofErr w:type="spellEnd"/>
      <w:r w:rsidRPr="004D56A6">
        <w:rPr>
          <w:rFonts w:ascii="Verdana" w:hAnsi="Verdana" w:cstheme="minorHAnsi"/>
          <w:b/>
          <w:bCs/>
          <w:lang w:val="de-DE"/>
        </w:rPr>
        <w:t>), die noch keine systemische Vorbehandlung erhalten haben.</w:t>
      </w:r>
      <w:r w:rsidRPr="004D56A6">
        <w:rPr>
          <w:rFonts w:ascii="Verdana" w:hAnsi="Verdana" w:cstheme="minorHAnsi"/>
          <w:b/>
          <w:bCs/>
          <w:vertAlign w:val="superscript"/>
          <w:lang w:val="de-DE"/>
        </w:rPr>
        <w:t>1</w:t>
      </w:r>
    </w:p>
    <w:p w14:paraId="2D25C48A" w14:textId="77777777" w:rsidR="002C70A9" w:rsidRPr="005704A0" w:rsidRDefault="002C70A9" w:rsidP="00623731">
      <w:pPr>
        <w:jc w:val="both"/>
        <w:rPr>
          <w:rFonts w:ascii="Verdana" w:hAnsi="Verdana" w:cstheme="minorHAnsi"/>
          <w:highlight w:val="yellow"/>
        </w:rPr>
      </w:pPr>
    </w:p>
    <w:p w14:paraId="6AE546E8" w14:textId="50717F19" w:rsidR="00623731" w:rsidRPr="00A87C80" w:rsidRDefault="00623731" w:rsidP="00623731">
      <w:pPr>
        <w:jc w:val="both"/>
        <w:rPr>
          <w:rFonts w:ascii="Verdana" w:hAnsi="Verdana" w:cstheme="minorHAnsi"/>
        </w:rPr>
      </w:pPr>
      <w:proofErr w:type="spellStart"/>
      <w:r w:rsidRPr="00A87C80">
        <w:rPr>
          <w:rFonts w:ascii="Verdana" w:hAnsi="Verdana" w:cstheme="minorHAnsi"/>
          <w:highlight w:val="yellow"/>
        </w:rPr>
        <w:t>Patientinnenangaben</w:t>
      </w:r>
      <w:proofErr w:type="spellEnd"/>
      <w:r w:rsidRPr="00A87C80">
        <w:rPr>
          <w:rFonts w:ascii="Verdana" w:hAnsi="Verdana" w:cstheme="minorHAnsi"/>
          <w:highlight w:val="yellow"/>
        </w:rPr>
        <w:t>, Versichertennummer</w:t>
      </w:r>
      <w:r w:rsidRPr="00A87C80">
        <w:rPr>
          <w:rFonts w:ascii="Verdana" w:hAnsi="Verdana" w:cstheme="minorHAnsi"/>
        </w:rPr>
        <w:t xml:space="preserve"> </w:t>
      </w:r>
    </w:p>
    <w:p w14:paraId="78DE2D63" w14:textId="77777777" w:rsidR="00623731" w:rsidRPr="00A87C80" w:rsidRDefault="00623731" w:rsidP="00623731">
      <w:pPr>
        <w:tabs>
          <w:tab w:val="left" w:pos="950"/>
        </w:tabs>
        <w:jc w:val="both"/>
        <w:rPr>
          <w:rFonts w:ascii="Verdana" w:hAnsi="Verdana"/>
        </w:rPr>
      </w:pPr>
    </w:p>
    <w:p w14:paraId="7E801996" w14:textId="77777777" w:rsidR="00623731" w:rsidRPr="00A87C80" w:rsidRDefault="00623731" w:rsidP="00623731">
      <w:pPr>
        <w:tabs>
          <w:tab w:val="left" w:pos="950"/>
        </w:tabs>
        <w:jc w:val="both"/>
        <w:rPr>
          <w:rFonts w:ascii="Verdana" w:hAnsi="Verdana"/>
        </w:rPr>
      </w:pPr>
      <w:r w:rsidRPr="00A87C80">
        <w:rPr>
          <w:rFonts w:ascii="Verdana" w:hAnsi="Verdana"/>
        </w:rPr>
        <w:t>Sehr geehrte Kolleginnen und Kollegen</w:t>
      </w:r>
    </w:p>
    <w:p w14:paraId="13627B9E" w14:textId="77777777" w:rsidR="00623731" w:rsidRPr="00A87C80" w:rsidRDefault="00623731" w:rsidP="00623731">
      <w:pPr>
        <w:rPr>
          <w:rFonts w:ascii="Verdana" w:hAnsi="Verdana"/>
          <w:b/>
          <w:bCs/>
        </w:rPr>
      </w:pPr>
    </w:p>
    <w:p w14:paraId="7C4214DD" w14:textId="3A99C4CF" w:rsidR="00623731" w:rsidRDefault="00623731" w:rsidP="004713EE">
      <w:pPr>
        <w:tabs>
          <w:tab w:val="left" w:pos="950"/>
        </w:tabs>
        <w:jc w:val="both"/>
        <w:rPr>
          <w:rFonts w:ascii="Verdana" w:hAnsi="Verdana"/>
          <w:b/>
          <w:bCs/>
          <w:color w:val="4472C4" w:themeColor="accent1"/>
        </w:rPr>
      </w:pPr>
      <w:r w:rsidRPr="00A87C80">
        <w:rPr>
          <w:rFonts w:ascii="Verdana" w:hAnsi="Verdana"/>
          <w:highlight w:val="yellow"/>
        </w:rPr>
        <w:t>Beim oben genannten Patienten/ Bei der oben genannten Patientin</w:t>
      </w:r>
      <w:r w:rsidRPr="00A87C80">
        <w:rPr>
          <w:rFonts w:ascii="Verdana" w:hAnsi="Verdana"/>
        </w:rPr>
        <w:t xml:space="preserve"> wurde am </w:t>
      </w:r>
      <w:r w:rsidRPr="00A87C80">
        <w:rPr>
          <w:rFonts w:ascii="Verdana" w:hAnsi="Verdana"/>
          <w:highlight w:val="yellow"/>
        </w:rPr>
        <w:t>xxx</w:t>
      </w:r>
      <w:r w:rsidRPr="00A87C80">
        <w:rPr>
          <w:rFonts w:ascii="Verdana" w:hAnsi="Verdana"/>
        </w:rPr>
        <w:t xml:space="preserve"> ein inoperables hepatozelluläres Karzinom (</w:t>
      </w:r>
      <w:proofErr w:type="spellStart"/>
      <w:r w:rsidRPr="00A87C80">
        <w:rPr>
          <w:rFonts w:ascii="Verdana" w:hAnsi="Verdana"/>
        </w:rPr>
        <w:t>uHCC</w:t>
      </w:r>
      <w:proofErr w:type="spellEnd"/>
      <w:r w:rsidRPr="00A87C80">
        <w:rPr>
          <w:rFonts w:ascii="Verdana" w:hAnsi="Verdana"/>
        </w:rPr>
        <w:t>) diagnostiziert (keine systemische Vorbehandlung).</w:t>
      </w:r>
      <w:r>
        <w:rPr>
          <w:rFonts w:ascii="Verdana" w:hAnsi="Verdana"/>
        </w:rPr>
        <w:t xml:space="preserve"> Aufgrund folgender Argumente bitten wir </w:t>
      </w:r>
      <w:r>
        <w:rPr>
          <w:rFonts w:ascii="Verdana" w:hAnsi="Verdana"/>
        </w:rPr>
        <w:t xml:space="preserve">nun </w:t>
      </w:r>
      <w:r>
        <w:rPr>
          <w:rFonts w:ascii="Verdana" w:hAnsi="Verdana"/>
        </w:rPr>
        <w:t>um Kostenübernahme</w:t>
      </w:r>
      <w:r w:rsidR="0094725B">
        <w:rPr>
          <w:rFonts w:ascii="Verdana" w:hAnsi="Verdana"/>
        </w:rPr>
        <w:t xml:space="preserve"> der Therapie von </w:t>
      </w:r>
      <w:proofErr w:type="spellStart"/>
      <w:r w:rsidR="0094725B">
        <w:rPr>
          <w:rFonts w:ascii="Verdana" w:hAnsi="Verdana"/>
        </w:rPr>
        <w:t>Imjudo</w:t>
      </w:r>
      <w:proofErr w:type="spellEnd"/>
      <w:r w:rsidR="0094725B">
        <w:rPr>
          <w:rFonts w:ascii="Verdana" w:hAnsi="Verdana"/>
        </w:rPr>
        <w:t xml:space="preserve"> in Kombination mit Durvalumab, wie in der HIMALAYA Studie </w:t>
      </w:r>
      <w:r w:rsidR="004713EE">
        <w:rPr>
          <w:rFonts w:ascii="Verdana" w:hAnsi="Verdana"/>
        </w:rPr>
        <w:t>beschrieben.</w:t>
      </w:r>
    </w:p>
    <w:p w14:paraId="14D28281" w14:textId="77777777" w:rsidR="00623731" w:rsidRDefault="00623731" w:rsidP="001A5E09">
      <w:pPr>
        <w:jc w:val="both"/>
        <w:rPr>
          <w:rFonts w:ascii="Verdana" w:hAnsi="Verdana"/>
          <w:b/>
          <w:bCs/>
          <w:color w:val="4472C4" w:themeColor="accent1"/>
        </w:rPr>
      </w:pPr>
    </w:p>
    <w:p w14:paraId="7DC177E7" w14:textId="0E274D70" w:rsidR="001A5E09" w:rsidRPr="00C93C35" w:rsidRDefault="001A5E09" w:rsidP="001A5E09">
      <w:pPr>
        <w:jc w:val="both"/>
        <w:rPr>
          <w:rFonts w:ascii="Verdana" w:hAnsi="Verdana"/>
          <w:b/>
          <w:bCs/>
          <w:color w:val="4472C4" w:themeColor="accent1"/>
        </w:rPr>
      </w:pPr>
      <w:r w:rsidRPr="00C93C35">
        <w:rPr>
          <w:rFonts w:ascii="Verdana" w:hAnsi="Verdana"/>
          <w:b/>
          <w:bCs/>
          <w:color w:val="4472C4" w:themeColor="accent1"/>
        </w:rPr>
        <w:t>SWISSMEDIC ZULASSUNG</w:t>
      </w:r>
    </w:p>
    <w:p w14:paraId="64EE374E" w14:textId="63EFCEDC" w:rsidR="00986DF7" w:rsidRPr="00623731" w:rsidRDefault="001A5E09" w:rsidP="00623731">
      <w:pPr>
        <w:jc w:val="both"/>
        <w:rPr>
          <w:rFonts w:ascii="Verdana" w:hAnsi="Verdana"/>
          <w:i/>
          <w:iCs/>
          <w:lang w:val="de-DE"/>
        </w:rPr>
      </w:pPr>
      <w:proofErr w:type="spellStart"/>
      <w:r w:rsidRPr="00411994">
        <w:rPr>
          <w:rFonts w:ascii="Verdana" w:hAnsi="Verdana"/>
          <w:i/>
          <w:iCs/>
        </w:rPr>
        <w:t>I</w:t>
      </w:r>
      <w:r>
        <w:rPr>
          <w:rFonts w:ascii="Verdana" w:hAnsi="Verdana"/>
          <w:i/>
          <w:iCs/>
        </w:rPr>
        <w:t>mjudo</w:t>
      </w:r>
      <w:proofErr w:type="spellEnd"/>
      <w:r>
        <w:rPr>
          <w:rFonts w:ascii="Verdana" w:hAnsi="Verdana"/>
          <w:i/>
          <w:iCs/>
        </w:rPr>
        <w:t xml:space="preserve"> </w:t>
      </w:r>
      <w:r w:rsidRPr="00411994">
        <w:rPr>
          <w:rFonts w:ascii="Verdana" w:hAnsi="Verdana"/>
          <w:i/>
          <w:iCs/>
        </w:rPr>
        <w:t>in Kombination mit Durvalumab</w:t>
      </w:r>
      <w:r>
        <w:rPr>
          <w:rFonts w:ascii="Verdana" w:hAnsi="Verdana"/>
          <w:i/>
          <w:iCs/>
        </w:rPr>
        <w:t xml:space="preserve"> </w:t>
      </w:r>
      <w:r w:rsidRPr="00411994">
        <w:rPr>
          <w:rFonts w:ascii="Verdana" w:hAnsi="Verdana"/>
          <w:i/>
          <w:iCs/>
        </w:rPr>
        <w:t xml:space="preserve">ist indiziert </w:t>
      </w:r>
      <w:r>
        <w:rPr>
          <w:rFonts w:ascii="Verdana" w:hAnsi="Verdana"/>
          <w:i/>
          <w:iCs/>
        </w:rPr>
        <w:t xml:space="preserve">für die </w:t>
      </w:r>
      <w:r w:rsidRPr="00411994">
        <w:rPr>
          <w:rFonts w:ascii="Verdana" w:hAnsi="Verdana"/>
          <w:i/>
          <w:iCs/>
        </w:rPr>
        <w:t>Behandlung von Patienten mit inoperablem hepatozellulärem Karzinom (</w:t>
      </w:r>
      <w:proofErr w:type="spellStart"/>
      <w:r w:rsidRPr="00411994">
        <w:rPr>
          <w:rFonts w:ascii="Verdana" w:hAnsi="Verdana"/>
          <w:i/>
          <w:iCs/>
        </w:rPr>
        <w:t>uHCC</w:t>
      </w:r>
      <w:proofErr w:type="spellEnd"/>
      <w:r w:rsidRPr="00411994">
        <w:rPr>
          <w:rFonts w:ascii="Verdana" w:hAnsi="Verdana"/>
          <w:i/>
          <w:iCs/>
        </w:rPr>
        <w:t>), die noch keine systemische Vorbehandlung erhalten haben</w:t>
      </w:r>
      <w:r w:rsidRPr="00411994">
        <w:rPr>
          <w:rFonts w:ascii="Verdana" w:hAnsi="Verdana"/>
          <w:i/>
          <w:iCs/>
          <w:lang w:val="de-DE"/>
        </w:rPr>
        <w:t>.</w:t>
      </w:r>
      <w:r w:rsidRPr="00411994">
        <w:rPr>
          <w:rFonts w:ascii="Verdana" w:hAnsi="Verdana"/>
          <w:i/>
          <w:iCs/>
          <w:vertAlign w:val="superscript"/>
          <w:lang w:val="de-DE"/>
        </w:rPr>
        <w:t>1</w:t>
      </w:r>
    </w:p>
    <w:p w14:paraId="0CA32E0D" w14:textId="77777777" w:rsidR="005A3446" w:rsidRPr="00A87C80" w:rsidRDefault="005A3446" w:rsidP="005A3446">
      <w:pPr>
        <w:rPr>
          <w:rFonts w:ascii="Verdana" w:hAnsi="Verdana"/>
          <w:b/>
          <w:bCs/>
        </w:rPr>
      </w:pPr>
    </w:p>
    <w:p w14:paraId="3EECE796" w14:textId="0B12D234" w:rsidR="005A3446" w:rsidRPr="00A87C80" w:rsidRDefault="00234DB2" w:rsidP="005A3446">
      <w:pPr>
        <w:jc w:val="both"/>
        <w:rPr>
          <w:rFonts w:ascii="Verdana" w:hAnsi="Verdana"/>
          <w:b/>
          <w:bCs/>
          <w:color w:val="4472C4" w:themeColor="accent1"/>
          <w:lang w:val="de-DE"/>
        </w:rPr>
      </w:pPr>
      <w:r w:rsidRPr="00A87C80">
        <w:rPr>
          <w:rFonts w:ascii="Verdana" w:hAnsi="Verdana"/>
          <w:b/>
          <w:bCs/>
          <w:color w:val="4472C4" w:themeColor="accent1"/>
          <w:lang w:val="de-DE"/>
        </w:rPr>
        <w:t xml:space="preserve">LEITLINIEN </w:t>
      </w:r>
    </w:p>
    <w:p w14:paraId="3F3C56CD" w14:textId="11E55ABE" w:rsidR="003C5B6D" w:rsidRPr="00A87C80" w:rsidRDefault="003960AE" w:rsidP="00986DF7">
      <w:pPr>
        <w:rPr>
          <w:rFonts w:ascii="Verdana" w:hAnsi="Verdana"/>
          <w:lang w:val="de-DE"/>
        </w:rPr>
      </w:pPr>
      <w:proofErr w:type="spellStart"/>
      <w:r w:rsidRPr="00A87C80">
        <w:rPr>
          <w:rFonts w:ascii="Verdana" w:hAnsi="Verdana"/>
          <w:lang w:val="de-DE"/>
        </w:rPr>
        <w:t>Imjudo</w:t>
      </w:r>
      <w:proofErr w:type="spellEnd"/>
      <w:r w:rsidR="00A728AF" w:rsidRPr="00A87C80">
        <w:rPr>
          <w:rFonts w:ascii="Verdana" w:hAnsi="Verdana"/>
          <w:lang w:val="de-DE"/>
        </w:rPr>
        <w:t xml:space="preserve"> (Tremelimumab)</w:t>
      </w:r>
      <w:r w:rsidRPr="00A87C80">
        <w:rPr>
          <w:rFonts w:ascii="Verdana" w:hAnsi="Verdana"/>
          <w:lang w:val="de-DE"/>
        </w:rPr>
        <w:t xml:space="preserve"> in Kombination mit Durvalumab </w:t>
      </w:r>
      <w:r w:rsidR="003C5B6D" w:rsidRPr="00A87C80">
        <w:rPr>
          <w:rFonts w:ascii="Verdana" w:hAnsi="Verdana"/>
          <w:lang w:val="de-DE"/>
        </w:rPr>
        <w:t xml:space="preserve">erfüllt die Kriterien von Grad 5 für ein erhebliches </w:t>
      </w:r>
      <w:proofErr w:type="spellStart"/>
      <w:r w:rsidR="003C5B6D" w:rsidRPr="00A87C80">
        <w:rPr>
          <w:rFonts w:ascii="Verdana" w:hAnsi="Verdana"/>
          <w:lang w:val="de-DE"/>
        </w:rPr>
        <w:t>Ausma</w:t>
      </w:r>
      <w:r w:rsidR="00016485" w:rsidRPr="00A87C80">
        <w:rPr>
          <w:rFonts w:ascii="Verdana" w:hAnsi="Verdana"/>
          <w:lang w:val="de-DE"/>
        </w:rPr>
        <w:t>ss</w:t>
      </w:r>
      <w:proofErr w:type="spellEnd"/>
      <w:r w:rsidR="003C5B6D" w:rsidRPr="00A87C80">
        <w:rPr>
          <w:rFonts w:ascii="Verdana" w:hAnsi="Verdana"/>
          <w:lang w:val="de-DE"/>
        </w:rPr>
        <w:t xml:space="preserve"> des klinischen Nutzens </w:t>
      </w:r>
      <w:proofErr w:type="spellStart"/>
      <w:r w:rsidR="003C5B6D" w:rsidRPr="00A87C80">
        <w:rPr>
          <w:rFonts w:ascii="Verdana" w:hAnsi="Verdana"/>
          <w:lang w:val="de-DE"/>
        </w:rPr>
        <w:t>gemä</w:t>
      </w:r>
      <w:r w:rsidR="00016485" w:rsidRPr="00A87C80">
        <w:rPr>
          <w:rFonts w:ascii="Verdana" w:hAnsi="Verdana"/>
          <w:lang w:val="de-DE"/>
        </w:rPr>
        <w:t>ss</w:t>
      </w:r>
      <w:proofErr w:type="spellEnd"/>
      <w:r w:rsidR="003C5B6D" w:rsidRPr="00A87C80">
        <w:rPr>
          <w:rFonts w:ascii="Verdana" w:hAnsi="Verdana"/>
          <w:lang w:val="de-DE"/>
        </w:rPr>
        <w:t xml:space="preserve"> de</w:t>
      </w:r>
      <w:r w:rsidR="00EE42E3" w:rsidRPr="00A87C80">
        <w:rPr>
          <w:rFonts w:ascii="Verdana" w:hAnsi="Verdana"/>
          <w:lang w:val="de-DE"/>
        </w:rPr>
        <w:t>m</w:t>
      </w:r>
      <w:r w:rsidR="003C5B6D" w:rsidRPr="00A87C80">
        <w:rPr>
          <w:rFonts w:ascii="Verdana" w:hAnsi="Verdana"/>
          <w:lang w:val="de-DE"/>
        </w:rPr>
        <w:t xml:space="preserve"> Be</w:t>
      </w:r>
      <w:r w:rsidR="00EE42E3" w:rsidRPr="00A87C80">
        <w:rPr>
          <w:rFonts w:ascii="Verdana" w:hAnsi="Verdana"/>
          <w:lang w:val="de-DE"/>
        </w:rPr>
        <w:t>urteilungs</w:t>
      </w:r>
      <w:r w:rsidR="00745166" w:rsidRPr="00A87C80">
        <w:rPr>
          <w:rFonts w:ascii="Verdana" w:hAnsi="Verdana"/>
          <w:lang w:val="de-DE"/>
        </w:rPr>
        <w:t>formular</w:t>
      </w:r>
      <w:r w:rsidR="003C5B6D" w:rsidRPr="00A87C80">
        <w:rPr>
          <w:rFonts w:ascii="Verdana" w:hAnsi="Verdana"/>
          <w:lang w:val="de-DE"/>
        </w:rPr>
        <w:t xml:space="preserve"> 2a </w:t>
      </w:r>
      <w:r w:rsidR="00745166" w:rsidRPr="00A87C80">
        <w:rPr>
          <w:rFonts w:ascii="Verdana" w:hAnsi="Verdana"/>
          <w:lang w:val="de-DE"/>
        </w:rPr>
        <w:t>des</w:t>
      </w:r>
      <w:r w:rsidR="003C5B6D" w:rsidRPr="00A87C80">
        <w:rPr>
          <w:rFonts w:ascii="Verdana" w:hAnsi="Verdana"/>
          <w:lang w:val="de-DE"/>
        </w:rPr>
        <w:t xml:space="preserve"> ESMO-Magnitude </w:t>
      </w:r>
      <w:proofErr w:type="spellStart"/>
      <w:r w:rsidR="003C5B6D" w:rsidRPr="00A87C80">
        <w:rPr>
          <w:rFonts w:ascii="Verdana" w:hAnsi="Verdana"/>
          <w:lang w:val="de-DE"/>
        </w:rPr>
        <w:t>of</w:t>
      </w:r>
      <w:proofErr w:type="spellEnd"/>
      <w:r w:rsidR="003C5B6D" w:rsidRPr="00A87C80">
        <w:rPr>
          <w:rFonts w:ascii="Verdana" w:hAnsi="Verdana"/>
          <w:lang w:val="de-DE"/>
        </w:rPr>
        <w:t xml:space="preserve"> Clinical Benefit (MCBS) v1.1-Score.</w:t>
      </w:r>
      <w:r w:rsidR="00CA5C52" w:rsidRPr="00A87C80">
        <w:rPr>
          <w:rFonts w:ascii="Verdana" w:hAnsi="Verdana"/>
          <w:vertAlign w:val="superscript"/>
          <w:lang w:val="de-DE"/>
        </w:rPr>
        <w:t>2</w:t>
      </w:r>
    </w:p>
    <w:p w14:paraId="08DAC646" w14:textId="27B48E1D" w:rsidR="003C5B6D" w:rsidRDefault="00325055" w:rsidP="00986DF7">
      <w:pPr>
        <w:rPr>
          <w:rFonts w:ascii="Verdana" w:hAnsi="Verdana"/>
          <w:vertAlign w:val="superscript"/>
          <w:lang w:val="de-DE"/>
        </w:rPr>
      </w:pPr>
      <w:r>
        <w:rPr>
          <w:rFonts w:ascii="Verdana" w:hAnsi="Verdana"/>
          <w:lang w:val="de-DE"/>
        </w:rPr>
        <w:t>Die</w:t>
      </w:r>
      <w:r w:rsidR="003C5B6D" w:rsidRPr="003C5B6D">
        <w:rPr>
          <w:rFonts w:ascii="Verdana" w:hAnsi="Verdana"/>
          <w:lang w:val="de-DE"/>
        </w:rPr>
        <w:t xml:space="preserve"> NCCN</w:t>
      </w:r>
      <w:r>
        <w:rPr>
          <w:rFonts w:ascii="Verdana" w:hAnsi="Verdana"/>
          <w:lang w:val="de-DE"/>
        </w:rPr>
        <w:t>-Leitlinie für Leberkrebs</w:t>
      </w:r>
      <w:r w:rsidR="003C5B6D" w:rsidRPr="003C5B6D">
        <w:rPr>
          <w:rFonts w:ascii="Verdana" w:hAnsi="Verdana"/>
          <w:lang w:val="de-DE"/>
        </w:rPr>
        <w:t xml:space="preserve"> (V1.2023)</w:t>
      </w:r>
      <w:r w:rsidR="00F95BCD">
        <w:rPr>
          <w:rFonts w:ascii="Verdana" w:hAnsi="Verdana"/>
          <w:lang w:val="de-DE"/>
        </w:rPr>
        <w:t xml:space="preserve"> empfiehlt</w:t>
      </w:r>
      <w:r w:rsidR="00986DF7">
        <w:rPr>
          <w:rFonts w:ascii="Verdana" w:hAnsi="Verdana"/>
          <w:lang w:val="de-DE"/>
        </w:rPr>
        <w:t xml:space="preserve"> </w:t>
      </w:r>
      <w:r w:rsidR="00A728AF" w:rsidRPr="008E29D4">
        <w:rPr>
          <w:rStyle w:val="normaltextrun"/>
          <w:rFonts w:ascii="Verdana" w:hAnsi="Verdana" w:cs="Segoe UI"/>
          <w:shd w:val="clear" w:color="auto" w:fill="FFFFFF"/>
          <w:lang w:val="de-DE"/>
        </w:rPr>
        <w:t>Tremelimumab/Durvalumab und Atezolizumab/Bevacizumab</w:t>
      </w:r>
      <w:r w:rsidR="003C5B6D" w:rsidRPr="008E29D4">
        <w:rPr>
          <w:rFonts w:ascii="Verdana" w:hAnsi="Verdana"/>
          <w:lang w:val="de-DE"/>
        </w:rPr>
        <w:t xml:space="preserve"> </w:t>
      </w:r>
      <w:r w:rsidR="003C5B6D" w:rsidRPr="003C5B6D">
        <w:rPr>
          <w:rFonts w:ascii="Verdana" w:hAnsi="Verdana"/>
          <w:lang w:val="de-DE"/>
        </w:rPr>
        <w:t>als</w:t>
      </w:r>
      <w:r w:rsidR="00A728AF">
        <w:rPr>
          <w:rFonts w:ascii="Verdana" w:hAnsi="Verdana"/>
          <w:lang w:val="de-DE"/>
        </w:rPr>
        <w:t xml:space="preserve"> gelichgestellten</w:t>
      </w:r>
      <w:r w:rsidR="003C5B6D" w:rsidRPr="003C5B6D">
        <w:rPr>
          <w:rFonts w:ascii="Verdana" w:hAnsi="Verdana"/>
          <w:lang w:val="de-DE"/>
        </w:rPr>
        <w:t xml:space="preserve"> </w:t>
      </w:r>
      <w:r w:rsidR="00A728AF" w:rsidRPr="003C5B6D">
        <w:rPr>
          <w:rFonts w:ascii="Verdana" w:hAnsi="Verdana"/>
          <w:lang w:val="de-DE"/>
        </w:rPr>
        <w:t>bevorzugte</w:t>
      </w:r>
      <w:r w:rsidR="00A728AF">
        <w:rPr>
          <w:rFonts w:ascii="Verdana" w:hAnsi="Verdana"/>
          <w:lang w:val="de-DE"/>
        </w:rPr>
        <w:t>n</w:t>
      </w:r>
      <w:r w:rsidR="00A728AF" w:rsidRPr="003C5B6D">
        <w:rPr>
          <w:rFonts w:ascii="Verdana" w:hAnsi="Verdana"/>
          <w:lang w:val="de-DE"/>
        </w:rPr>
        <w:t xml:space="preserve"> </w:t>
      </w:r>
      <w:r w:rsidR="00A728AF">
        <w:rPr>
          <w:rFonts w:ascii="Verdana" w:hAnsi="Verdana"/>
          <w:lang w:val="de-DE"/>
        </w:rPr>
        <w:t>Optionen</w:t>
      </w:r>
      <w:r w:rsidR="003C5B6D" w:rsidRPr="003C5B6D">
        <w:rPr>
          <w:rFonts w:ascii="Verdana" w:hAnsi="Verdana"/>
          <w:lang w:val="de-DE"/>
        </w:rPr>
        <w:t xml:space="preserve"> für die Behandlung von 1L </w:t>
      </w:r>
      <w:proofErr w:type="spellStart"/>
      <w:r w:rsidR="003C5B6D" w:rsidRPr="003C5B6D">
        <w:rPr>
          <w:rFonts w:ascii="Verdana" w:hAnsi="Verdana"/>
          <w:lang w:val="de-DE"/>
        </w:rPr>
        <w:t>uHCC</w:t>
      </w:r>
      <w:proofErr w:type="spellEnd"/>
      <w:r w:rsidR="003C5B6D" w:rsidRPr="003C5B6D">
        <w:rPr>
          <w:rFonts w:ascii="Verdana" w:hAnsi="Verdana"/>
          <w:lang w:val="de-DE"/>
        </w:rPr>
        <w:t xml:space="preserve"> (Kategorie 1)</w:t>
      </w:r>
      <w:r w:rsidR="003410B2" w:rsidRPr="003410B2">
        <w:rPr>
          <w:rFonts w:ascii="Verdana" w:hAnsi="Verdana"/>
          <w:lang w:val="de-DE"/>
        </w:rPr>
        <w:t>.</w:t>
      </w:r>
      <w:r w:rsidR="00B46857" w:rsidRPr="00B46857">
        <w:rPr>
          <w:rFonts w:ascii="Verdana" w:hAnsi="Verdana"/>
          <w:vertAlign w:val="superscript"/>
          <w:lang w:val="de-DE"/>
        </w:rPr>
        <w:t>3</w:t>
      </w:r>
      <w:r w:rsidR="003410B2">
        <w:rPr>
          <w:rFonts w:ascii="Verdana" w:hAnsi="Verdana"/>
          <w:vertAlign w:val="superscript"/>
          <w:lang w:val="de-DE"/>
        </w:rPr>
        <w:t xml:space="preserve"> </w:t>
      </w:r>
    </w:p>
    <w:p w14:paraId="2B893463" w14:textId="0ACC8CF8" w:rsidR="00432933" w:rsidRPr="003C5B6D" w:rsidRDefault="00A87C80" w:rsidP="00986DF7">
      <w:pPr>
        <w:rPr>
          <w:rFonts w:ascii="Verdana" w:hAnsi="Verdana"/>
          <w:lang w:val="de-DE"/>
        </w:rPr>
      </w:pPr>
      <w:r w:rsidRPr="00432933">
        <w:rPr>
          <w:rFonts w:ascii="Verdana" w:hAnsi="Verdana"/>
          <w:lang w:val="de-DE"/>
        </w:rPr>
        <w:t>Der BCLC-Verband</w:t>
      </w:r>
      <w:r w:rsidR="00432933" w:rsidRPr="00432933">
        <w:rPr>
          <w:rFonts w:ascii="Verdana" w:hAnsi="Verdana"/>
          <w:lang w:val="de-DE"/>
        </w:rPr>
        <w:t xml:space="preserve"> (Barcelona Clinic Liver Cancer) empfiehlt </w:t>
      </w:r>
      <w:r w:rsidR="00A728AF" w:rsidRPr="008E29D4">
        <w:rPr>
          <w:rStyle w:val="normaltextrun"/>
          <w:rFonts w:ascii="Verdana" w:hAnsi="Verdana" w:cs="Segoe UI"/>
          <w:shd w:val="clear" w:color="auto" w:fill="FFFFFF"/>
          <w:lang w:val="de-DE"/>
        </w:rPr>
        <w:t>Tremelimumab/Durvalumab</w:t>
      </w:r>
      <w:r w:rsidR="00432933" w:rsidRPr="008E29D4">
        <w:rPr>
          <w:rFonts w:ascii="Verdana" w:hAnsi="Verdana"/>
          <w:lang w:val="de-DE"/>
        </w:rPr>
        <w:t xml:space="preserve"> </w:t>
      </w:r>
      <w:r w:rsidR="00432933" w:rsidRPr="00432933">
        <w:rPr>
          <w:rFonts w:ascii="Verdana" w:hAnsi="Verdana"/>
          <w:lang w:val="de-DE"/>
        </w:rPr>
        <w:t xml:space="preserve">als </w:t>
      </w:r>
      <w:r w:rsidR="001D1E37" w:rsidRPr="001D1E37">
        <w:rPr>
          <w:rFonts w:ascii="Verdana" w:hAnsi="Verdana"/>
          <w:lang w:val="de-DE"/>
        </w:rPr>
        <w:t>alternativ</w:t>
      </w:r>
      <w:r w:rsidR="00432933" w:rsidRPr="001D1E37">
        <w:rPr>
          <w:rFonts w:ascii="Verdana" w:hAnsi="Verdana"/>
          <w:lang w:val="de-DE"/>
        </w:rPr>
        <w:t xml:space="preserve"> </w:t>
      </w:r>
      <w:r w:rsidR="00432933" w:rsidRPr="00B20E76">
        <w:rPr>
          <w:rFonts w:ascii="Verdana" w:hAnsi="Verdana"/>
          <w:lang w:val="de-DE"/>
        </w:rPr>
        <w:t>bevorzugte</w:t>
      </w:r>
      <w:r w:rsidR="00432933" w:rsidRPr="00432933">
        <w:rPr>
          <w:rFonts w:ascii="Verdana" w:hAnsi="Verdana"/>
          <w:lang w:val="de-DE"/>
        </w:rPr>
        <w:t xml:space="preserve"> Erstlinientherapie zu Atezolizumab/Bevacizumab</w:t>
      </w:r>
      <w:r w:rsidR="00432933">
        <w:rPr>
          <w:rFonts w:ascii="Verdana" w:hAnsi="Verdana"/>
          <w:lang w:val="de-DE"/>
        </w:rPr>
        <w:t>.</w:t>
      </w:r>
      <w:r w:rsidR="00432933" w:rsidRPr="00432933">
        <w:rPr>
          <w:rFonts w:ascii="Verdana" w:hAnsi="Verdana"/>
          <w:vertAlign w:val="superscript"/>
          <w:lang w:val="de-DE"/>
        </w:rPr>
        <w:t>4</w:t>
      </w:r>
    </w:p>
    <w:p w14:paraId="7FEDC248" w14:textId="77777777" w:rsidR="00A34EFB" w:rsidRDefault="00A34EFB" w:rsidP="005A3446">
      <w:pPr>
        <w:jc w:val="both"/>
        <w:rPr>
          <w:rFonts w:ascii="Verdana" w:hAnsi="Verdana"/>
          <w:b/>
          <w:bCs/>
          <w:color w:val="4472C4" w:themeColor="accent1"/>
          <w:lang w:val="de-DE"/>
        </w:rPr>
      </w:pPr>
    </w:p>
    <w:p w14:paraId="47212054" w14:textId="7D1CFA8F" w:rsidR="0041616F" w:rsidRDefault="0041616F" w:rsidP="005A3446">
      <w:pPr>
        <w:jc w:val="both"/>
        <w:rPr>
          <w:rFonts w:ascii="Verdana" w:hAnsi="Verdana"/>
          <w:b/>
          <w:bCs/>
          <w:color w:val="4472C4" w:themeColor="accent1"/>
          <w:lang w:val="de-DE"/>
        </w:rPr>
      </w:pPr>
      <w:r>
        <w:rPr>
          <w:rFonts w:ascii="Verdana" w:hAnsi="Verdana"/>
          <w:b/>
          <w:bCs/>
          <w:color w:val="4472C4" w:themeColor="accent1"/>
          <w:lang w:val="de-DE"/>
        </w:rPr>
        <w:t xml:space="preserve">OLU TOOL </w:t>
      </w:r>
      <w:r w:rsidRPr="0041616F">
        <w:rPr>
          <w:rFonts w:ascii="Verdana" w:hAnsi="Verdana"/>
          <w:b/>
          <w:bCs/>
          <w:color w:val="4472C4" w:themeColor="accent1"/>
          <w:lang w:val="de-DE"/>
        </w:rPr>
        <w:t>N</w:t>
      </w:r>
      <w:r>
        <w:rPr>
          <w:rFonts w:ascii="Verdana" w:hAnsi="Verdana"/>
          <w:b/>
          <w:bCs/>
          <w:color w:val="4472C4" w:themeColor="accent1"/>
          <w:lang w:val="de-DE"/>
        </w:rPr>
        <w:t>UTZENBEWERTUNG</w:t>
      </w:r>
      <w:r w:rsidRPr="0041616F">
        <w:rPr>
          <w:rFonts w:ascii="Verdana" w:hAnsi="Verdana"/>
          <w:b/>
          <w:bCs/>
          <w:color w:val="4472C4" w:themeColor="accent1"/>
          <w:lang w:val="de-DE"/>
        </w:rPr>
        <w:t xml:space="preserve"> </w:t>
      </w:r>
    </w:p>
    <w:p w14:paraId="211B4889" w14:textId="4B65C9D4" w:rsidR="00A0237B" w:rsidRPr="00914098" w:rsidRDefault="00A0237B" w:rsidP="00A0237B">
      <w:pPr>
        <w:jc w:val="both"/>
        <w:rPr>
          <w:rFonts w:ascii="Verdana" w:hAnsi="Verdana"/>
          <w:lang w:val="de-DE"/>
        </w:rPr>
      </w:pPr>
      <w:r w:rsidRPr="00914098">
        <w:rPr>
          <w:rFonts w:ascii="Verdana" w:hAnsi="Verdana"/>
          <w:lang w:val="de-DE"/>
        </w:rPr>
        <w:t>Die Nutzenbewertung des OLU-Tools ergibt ein Studienrating A</w:t>
      </w:r>
      <w:r w:rsidR="004D5D11">
        <w:rPr>
          <w:rFonts w:ascii="Verdana" w:hAnsi="Verdana"/>
          <w:lang w:val="de-DE"/>
        </w:rPr>
        <w:t xml:space="preserve"> (4 Punkte)</w:t>
      </w:r>
      <w:r w:rsidRPr="00914098">
        <w:rPr>
          <w:rFonts w:ascii="Verdana" w:hAnsi="Verdana"/>
          <w:lang w:val="de-DE"/>
        </w:rPr>
        <w:t xml:space="preserve"> für die HIMALAYA-Studie: </w:t>
      </w:r>
    </w:p>
    <w:p w14:paraId="2EBA7455" w14:textId="3267C3C1" w:rsidR="00A0237B" w:rsidRPr="007B5CB4" w:rsidRDefault="00A0237B" w:rsidP="00A0237B">
      <w:pPr>
        <w:numPr>
          <w:ilvl w:val="0"/>
          <w:numId w:val="7"/>
        </w:numPr>
        <w:jc w:val="both"/>
        <w:rPr>
          <w:rFonts w:ascii="Verdana" w:hAnsi="Verdana"/>
          <w:lang w:val="de-DE"/>
        </w:rPr>
      </w:pPr>
      <w:r w:rsidRPr="00914098">
        <w:rPr>
          <w:rFonts w:ascii="Verdana" w:hAnsi="Verdana"/>
          <w:lang w:val="de-DE"/>
        </w:rPr>
        <w:t>Rubrik 2 (OS als primärer Endpunkt - medianes OS mit Standardtherapie/Best Supportive Care 1-2 Jahre</w:t>
      </w:r>
      <w:r w:rsidR="00305474">
        <w:rPr>
          <w:rFonts w:ascii="Verdana" w:hAnsi="Verdana"/>
          <w:lang w:val="de-DE"/>
        </w:rPr>
        <w:t>)</w:t>
      </w:r>
      <w:r w:rsidRPr="00914098">
        <w:rPr>
          <w:rFonts w:ascii="Verdana" w:hAnsi="Verdana"/>
          <w:lang w:val="de-DE"/>
        </w:rPr>
        <w:t xml:space="preserve"> - </w:t>
      </w:r>
      <w:r w:rsidRPr="00914098">
        <w:rPr>
          <w:rFonts w:ascii="Verdana" w:hAnsi="Verdana"/>
        </w:rPr>
        <w:t>∆</w:t>
      </w:r>
      <w:r w:rsidRPr="00914098">
        <w:rPr>
          <w:rFonts w:ascii="Verdana" w:hAnsi="Verdana"/>
          <w:lang w:val="de-DE"/>
        </w:rPr>
        <w:t>OS nach 36 Monaten ≥10%</w:t>
      </w:r>
      <w:r w:rsidR="000D5880">
        <w:rPr>
          <w:rFonts w:ascii="Verdana" w:hAnsi="Verdana"/>
          <w:lang w:val="de-DE"/>
        </w:rPr>
        <w:t xml:space="preserve"> </w:t>
      </w:r>
      <w:r w:rsidR="000D5880" w:rsidRPr="000D5880">
        <w:rPr>
          <w:rFonts w:ascii="Verdana" w:hAnsi="Verdana"/>
        </w:rPr>
        <w:t xml:space="preserve">(30.7% </w:t>
      </w:r>
      <w:proofErr w:type="spellStart"/>
      <w:r w:rsidR="000D5880" w:rsidRPr="000D5880">
        <w:rPr>
          <w:rFonts w:ascii="Verdana" w:hAnsi="Verdana"/>
        </w:rPr>
        <w:t>vs</w:t>
      </w:r>
      <w:proofErr w:type="spellEnd"/>
      <w:r w:rsidR="000D5880" w:rsidRPr="000D5880">
        <w:rPr>
          <w:rFonts w:ascii="Verdana" w:hAnsi="Verdana"/>
        </w:rPr>
        <w:t xml:space="preserve"> 19.8% </w:t>
      </w:r>
      <w:r w:rsidR="000D5880">
        <w:rPr>
          <w:rFonts w:ascii="Verdana" w:hAnsi="Verdana"/>
        </w:rPr>
        <w:t>nach</w:t>
      </w:r>
      <w:r w:rsidR="000D5880" w:rsidRPr="000D5880">
        <w:rPr>
          <w:rFonts w:ascii="Verdana" w:hAnsi="Verdana"/>
        </w:rPr>
        <w:t xml:space="preserve"> 36 </w:t>
      </w:r>
      <w:r w:rsidR="000D5880">
        <w:rPr>
          <w:rFonts w:ascii="Verdana" w:hAnsi="Verdana"/>
        </w:rPr>
        <w:t>Monaten</w:t>
      </w:r>
      <w:r w:rsidR="000D5880" w:rsidRPr="000D5880">
        <w:rPr>
          <w:rFonts w:ascii="Verdana" w:hAnsi="Verdana"/>
        </w:rPr>
        <w:t xml:space="preserve"> </w:t>
      </w:r>
      <w:r w:rsidR="000D5880">
        <w:rPr>
          <w:rFonts w:ascii="Verdana" w:hAnsi="Verdana"/>
        </w:rPr>
        <w:t>u</w:t>
      </w:r>
      <w:r w:rsidR="000D5880" w:rsidRPr="000D5880">
        <w:rPr>
          <w:rFonts w:ascii="Verdana" w:hAnsi="Verdana"/>
        </w:rPr>
        <w:t xml:space="preserve">nd 25.2% </w:t>
      </w:r>
      <w:proofErr w:type="spellStart"/>
      <w:r w:rsidR="000D5880" w:rsidRPr="000D5880">
        <w:rPr>
          <w:rFonts w:ascii="Verdana" w:hAnsi="Verdana"/>
        </w:rPr>
        <w:t>vs</w:t>
      </w:r>
      <w:proofErr w:type="spellEnd"/>
      <w:r w:rsidR="000D5880" w:rsidRPr="000D5880">
        <w:rPr>
          <w:rFonts w:ascii="Verdana" w:hAnsi="Verdana"/>
        </w:rPr>
        <w:t xml:space="preserve"> 15.1% at 48 </w:t>
      </w:r>
      <w:r w:rsidR="000D5880">
        <w:rPr>
          <w:rFonts w:ascii="Verdana" w:hAnsi="Verdana"/>
        </w:rPr>
        <w:t>Monaten</w:t>
      </w:r>
      <w:r w:rsidR="000D5880" w:rsidRPr="000D5880">
        <w:rPr>
          <w:rFonts w:ascii="Verdana" w:hAnsi="Verdana"/>
        </w:rPr>
        <w:t>)</w:t>
      </w:r>
      <w:r w:rsidR="002D798D" w:rsidRPr="002D798D">
        <w:rPr>
          <w:rFonts w:ascii="Verdana" w:hAnsi="Verdana"/>
          <w:vertAlign w:val="superscript"/>
        </w:rPr>
        <w:t>5</w:t>
      </w:r>
      <w:r w:rsidR="000D5880" w:rsidRPr="000D5880">
        <w:rPr>
          <w:rFonts w:ascii="Verdana" w:hAnsi="Verdana"/>
        </w:rPr>
        <w:t>:</w:t>
      </w:r>
      <w:r w:rsidR="000D5880" w:rsidRPr="000D5880">
        <w:rPr>
          <w:rFonts w:ascii="Verdana" w:hAnsi="Verdana"/>
          <w:b/>
          <w:bCs/>
        </w:rPr>
        <w:t xml:space="preserve"> +4 </w:t>
      </w:r>
      <w:r w:rsidR="00773654">
        <w:rPr>
          <w:rFonts w:ascii="Verdana" w:hAnsi="Verdana"/>
          <w:b/>
          <w:bCs/>
        </w:rPr>
        <w:t>Punkte</w:t>
      </w:r>
    </w:p>
    <w:p w14:paraId="558B1CB2" w14:textId="39E01E71" w:rsidR="007B5CB4" w:rsidRPr="00914098" w:rsidRDefault="007B5CB4" w:rsidP="00A0237B">
      <w:pPr>
        <w:numPr>
          <w:ilvl w:val="0"/>
          <w:numId w:val="7"/>
        </w:numPr>
        <w:jc w:val="both"/>
        <w:rPr>
          <w:rFonts w:ascii="Verdana" w:hAnsi="Verdana"/>
          <w:lang w:val="de-DE"/>
        </w:rPr>
      </w:pPr>
      <w:r w:rsidRPr="007B5CB4">
        <w:rPr>
          <w:rFonts w:ascii="Verdana" w:hAnsi="Verdana"/>
          <w:lang w:val="de-DE"/>
        </w:rPr>
        <w:lastRenderedPageBreak/>
        <w:t xml:space="preserve">Die von Patienten berichteten Ergebnisse (Patient </w:t>
      </w:r>
      <w:proofErr w:type="spellStart"/>
      <w:r w:rsidRPr="007B5CB4">
        <w:rPr>
          <w:rFonts w:ascii="Verdana" w:hAnsi="Verdana"/>
          <w:lang w:val="de-DE"/>
        </w:rPr>
        <w:t>Reported</w:t>
      </w:r>
      <w:proofErr w:type="spellEnd"/>
      <w:r w:rsidRPr="007B5CB4">
        <w:rPr>
          <w:rFonts w:ascii="Verdana" w:hAnsi="Verdana"/>
          <w:lang w:val="de-DE"/>
        </w:rPr>
        <w:t xml:space="preserve"> Outcomes, PROs) waren einer der sekundären Endpunkte</w:t>
      </w:r>
      <w:r w:rsidR="0047649E">
        <w:rPr>
          <w:rFonts w:ascii="Verdana" w:hAnsi="Verdana"/>
          <w:lang w:val="de-DE"/>
        </w:rPr>
        <w:t xml:space="preserve"> der HIMALAYA </w:t>
      </w:r>
      <w:r w:rsidR="00B20E76">
        <w:rPr>
          <w:rFonts w:ascii="Verdana" w:hAnsi="Verdana"/>
          <w:lang w:val="de-DE"/>
        </w:rPr>
        <w:t>S</w:t>
      </w:r>
      <w:r w:rsidR="0047649E">
        <w:rPr>
          <w:rFonts w:ascii="Verdana" w:hAnsi="Verdana"/>
          <w:lang w:val="de-DE"/>
        </w:rPr>
        <w:t>tudie</w:t>
      </w:r>
      <w:r w:rsidRPr="007B5CB4">
        <w:rPr>
          <w:rFonts w:ascii="Verdana" w:hAnsi="Verdana"/>
          <w:lang w:val="de-DE"/>
        </w:rPr>
        <w:t>. Die Zeit bis zur Verschlechterung der globalen Lebensqualität (</w:t>
      </w:r>
      <w:proofErr w:type="spellStart"/>
      <w:r w:rsidRPr="007B5CB4">
        <w:rPr>
          <w:rFonts w:ascii="Verdana" w:hAnsi="Verdana"/>
          <w:lang w:val="de-DE"/>
        </w:rPr>
        <w:t>QoL</w:t>
      </w:r>
      <w:proofErr w:type="spellEnd"/>
      <w:r w:rsidRPr="007B5CB4">
        <w:rPr>
          <w:rFonts w:ascii="Verdana" w:hAnsi="Verdana"/>
          <w:lang w:val="de-DE"/>
        </w:rPr>
        <w:t xml:space="preserve">) verbesserte </w:t>
      </w:r>
      <w:r w:rsidR="00B20E76">
        <w:rPr>
          <w:rFonts w:ascii="Verdana" w:hAnsi="Verdana"/>
          <w:lang w:val="de-DE"/>
        </w:rPr>
        <w:t xml:space="preserve">sich </w:t>
      </w:r>
      <w:r w:rsidR="00995577">
        <w:rPr>
          <w:rFonts w:ascii="Verdana" w:hAnsi="Verdana"/>
          <w:lang w:val="de-DE"/>
        </w:rPr>
        <w:t>signifikant</w:t>
      </w:r>
      <w:r w:rsidR="00CC1131">
        <w:rPr>
          <w:rFonts w:ascii="Verdana" w:hAnsi="Verdana"/>
          <w:lang w:val="de-DE"/>
        </w:rPr>
        <w:t xml:space="preserve">, </w:t>
      </w:r>
      <w:r w:rsidRPr="007B5CB4">
        <w:rPr>
          <w:rFonts w:ascii="Verdana" w:hAnsi="Verdana"/>
          <w:lang w:val="de-DE"/>
        </w:rPr>
        <w:t>HR 0,76 (95 %-KI: 0,61-0,96)</w:t>
      </w:r>
      <w:r w:rsidR="007C0ABC" w:rsidRPr="007C0ABC">
        <w:rPr>
          <w:rFonts w:ascii="Verdana" w:hAnsi="Verdana"/>
          <w:vertAlign w:val="superscript"/>
          <w:lang w:val="de-DE"/>
        </w:rPr>
        <w:t>6</w:t>
      </w:r>
      <w:r w:rsidRPr="007B5CB4">
        <w:rPr>
          <w:rFonts w:ascii="Verdana" w:hAnsi="Verdana"/>
          <w:lang w:val="de-DE"/>
        </w:rPr>
        <w:t xml:space="preserve">: </w:t>
      </w:r>
      <w:r w:rsidRPr="00640EFB">
        <w:rPr>
          <w:rFonts w:ascii="Verdana" w:hAnsi="Verdana"/>
          <w:b/>
          <w:bCs/>
          <w:lang w:val="de-DE"/>
        </w:rPr>
        <w:t>+1 Punkt</w:t>
      </w:r>
    </w:p>
    <w:p w14:paraId="420D9C13" w14:textId="4205988D" w:rsidR="00A0237B" w:rsidRPr="00914098" w:rsidRDefault="00A0237B" w:rsidP="00A0237B">
      <w:pPr>
        <w:numPr>
          <w:ilvl w:val="0"/>
          <w:numId w:val="7"/>
        </w:numPr>
        <w:jc w:val="both"/>
        <w:rPr>
          <w:rFonts w:ascii="Verdana" w:hAnsi="Verdana"/>
          <w:lang w:val="de-DE"/>
        </w:rPr>
      </w:pPr>
      <w:r w:rsidRPr="00914098">
        <w:rPr>
          <w:rFonts w:ascii="Verdana" w:hAnsi="Verdana"/>
          <w:lang w:val="de-DE"/>
        </w:rPr>
        <w:t>Langfristiges OS-Plateau</w:t>
      </w:r>
      <w:r w:rsidR="00640EFB">
        <w:rPr>
          <w:rFonts w:ascii="Verdana" w:hAnsi="Verdana"/>
          <w:lang w:val="de-DE"/>
        </w:rPr>
        <w:t xml:space="preserve"> </w:t>
      </w:r>
      <w:r w:rsidRPr="00914098">
        <w:rPr>
          <w:rFonts w:ascii="Verdana" w:hAnsi="Verdana"/>
          <w:lang w:val="de-DE"/>
        </w:rPr>
        <w:t>≥12 Monate</w:t>
      </w:r>
      <w:r w:rsidR="00640EFB">
        <w:rPr>
          <w:rFonts w:ascii="Verdana" w:hAnsi="Verdana"/>
          <w:lang w:val="de-DE"/>
        </w:rPr>
        <w:t xml:space="preserve">: </w:t>
      </w:r>
      <w:r w:rsidR="00640EFB" w:rsidRPr="00640EFB">
        <w:rPr>
          <w:rFonts w:ascii="Verdana" w:hAnsi="Verdana"/>
          <w:b/>
          <w:bCs/>
          <w:lang w:val="de-DE"/>
        </w:rPr>
        <w:t>+1 Punkt</w:t>
      </w:r>
    </w:p>
    <w:p w14:paraId="1F294B6A" w14:textId="29FDFAE3" w:rsidR="00A0237B" w:rsidRPr="00914098" w:rsidRDefault="00A0237B" w:rsidP="00A0237B">
      <w:pPr>
        <w:numPr>
          <w:ilvl w:val="0"/>
          <w:numId w:val="7"/>
        </w:numPr>
        <w:jc w:val="both"/>
        <w:rPr>
          <w:rFonts w:ascii="Verdana" w:hAnsi="Verdana"/>
          <w:lang w:val="de-DE"/>
        </w:rPr>
      </w:pPr>
      <w:r w:rsidRPr="00914098">
        <w:rPr>
          <w:rFonts w:ascii="Verdana" w:hAnsi="Verdana"/>
          <w:lang w:val="de-DE"/>
        </w:rPr>
        <w:t xml:space="preserve">ORR [partielles Ansprechen </w:t>
      </w:r>
      <w:r w:rsidR="00947F68">
        <w:rPr>
          <w:rFonts w:ascii="Verdana" w:hAnsi="Verdana"/>
          <w:lang w:val="de-DE"/>
        </w:rPr>
        <w:t>(</w:t>
      </w:r>
      <w:r w:rsidRPr="00914098">
        <w:rPr>
          <w:rFonts w:ascii="Verdana" w:hAnsi="Verdana"/>
          <w:lang w:val="de-DE"/>
        </w:rPr>
        <w:t>PR) + komplettes Ansprechen (CR)] - ORR 15-30%</w:t>
      </w:r>
      <w:r w:rsidR="00D567FB">
        <w:rPr>
          <w:rFonts w:ascii="Verdana" w:hAnsi="Verdana"/>
          <w:lang w:val="de-DE"/>
        </w:rPr>
        <w:t xml:space="preserve"> </w:t>
      </w:r>
      <w:r w:rsidR="00D567FB" w:rsidRPr="00D567FB">
        <w:rPr>
          <w:rFonts w:ascii="Verdana" w:hAnsi="Verdana"/>
        </w:rPr>
        <w:t>(ORR f</w:t>
      </w:r>
      <w:r w:rsidR="0035737F">
        <w:rPr>
          <w:rFonts w:ascii="Verdana" w:hAnsi="Verdana"/>
        </w:rPr>
        <w:t>ü</w:t>
      </w:r>
      <w:r w:rsidR="00D567FB" w:rsidRPr="00D567FB">
        <w:rPr>
          <w:rFonts w:ascii="Verdana" w:hAnsi="Verdana"/>
        </w:rPr>
        <w:t xml:space="preserve">r </w:t>
      </w:r>
      <w:r w:rsidR="00A728AF" w:rsidRPr="008E29D4">
        <w:rPr>
          <w:rStyle w:val="normaltextrun"/>
          <w:rFonts w:ascii="Verdana" w:hAnsi="Verdana" w:cs="Segoe UI"/>
          <w:shd w:val="clear" w:color="auto" w:fill="FFFFFF"/>
          <w:lang w:val="de-DE"/>
        </w:rPr>
        <w:t>Tremelimumab/Durvalumab</w:t>
      </w:r>
      <w:r w:rsidR="00D567FB" w:rsidRPr="00D567FB">
        <w:rPr>
          <w:rFonts w:ascii="Verdana" w:hAnsi="Verdana"/>
        </w:rPr>
        <w:t>: 20.1%)</w:t>
      </w:r>
      <w:r w:rsidR="007C0ABC" w:rsidRPr="007C0ABC">
        <w:rPr>
          <w:rFonts w:ascii="Verdana" w:hAnsi="Verdana"/>
          <w:vertAlign w:val="superscript"/>
        </w:rPr>
        <w:t>7</w:t>
      </w:r>
      <w:r w:rsidR="00D567FB" w:rsidRPr="00D567FB">
        <w:rPr>
          <w:rFonts w:ascii="Verdana" w:hAnsi="Verdana"/>
        </w:rPr>
        <w:t xml:space="preserve">: </w:t>
      </w:r>
      <w:r w:rsidR="00486056">
        <w:rPr>
          <w:rFonts w:ascii="Verdana" w:hAnsi="Verdana"/>
          <w:b/>
          <w:bCs/>
        </w:rPr>
        <w:t>-</w:t>
      </w:r>
      <w:r w:rsidR="00D567FB" w:rsidRPr="00D567FB">
        <w:rPr>
          <w:rFonts w:ascii="Verdana" w:hAnsi="Verdana"/>
          <w:b/>
          <w:bCs/>
        </w:rPr>
        <w:t>1 Punkt</w:t>
      </w:r>
      <w:r w:rsidRPr="00914098">
        <w:rPr>
          <w:rFonts w:ascii="Verdana" w:hAnsi="Verdana"/>
          <w:lang w:val="de-DE"/>
        </w:rPr>
        <w:t>.</w:t>
      </w:r>
    </w:p>
    <w:p w14:paraId="3BDCA14E" w14:textId="77777777" w:rsidR="0041616F" w:rsidRDefault="0041616F" w:rsidP="005A3446">
      <w:pPr>
        <w:jc w:val="both"/>
        <w:rPr>
          <w:rFonts w:ascii="Verdana" w:hAnsi="Verdana"/>
          <w:b/>
          <w:bCs/>
          <w:color w:val="4472C4" w:themeColor="accent1"/>
          <w:lang w:val="de-DE"/>
        </w:rPr>
      </w:pPr>
    </w:p>
    <w:p w14:paraId="02DDABE7" w14:textId="0F8EABE3" w:rsidR="00A34EFB" w:rsidRPr="00A34EFB" w:rsidRDefault="00A34EFB" w:rsidP="005A3446">
      <w:pPr>
        <w:jc w:val="both"/>
        <w:rPr>
          <w:rFonts w:ascii="Verdana" w:hAnsi="Verdana"/>
          <w:b/>
          <w:bCs/>
          <w:color w:val="4472C4" w:themeColor="accent1"/>
          <w:lang w:val="de-DE"/>
        </w:rPr>
      </w:pPr>
      <w:r>
        <w:rPr>
          <w:rFonts w:ascii="Verdana" w:hAnsi="Verdana"/>
          <w:b/>
          <w:bCs/>
          <w:color w:val="4472C4" w:themeColor="accent1"/>
          <w:lang w:val="de-DE"/>
        </w:rPr>
        <w:t>WIRK</w:t>
      </w:r>
      <w:r w:rsidR="00B20E76">
        <w:rPr>
          <w:rFonts w:ascii="Verdana" w:hAnsi="Verdana"/>
          <w:b/>
          <w:bCs/>
          <w:color w:val="4472C4" w:themeColor="accent1"/>
          <w:lang w:val="de-DE"/>
        </w:rPr>
        <w:t>UNGS</w:t>
      </w:r>
      <w:r>
        <w:rPr>
          <w:rFonts w:ascii="Verdana" w:hAnsi="Verdana"/>
          <w:b/>
          <w:bCs/>
          <w:color w:val="4472C4" w:themeColor="accent1"/>
          <w:lang w:val="de-DE"/>
        </w:rPr>
        <w:t>MECHANISMUS</w:t>
      </w:r>
      <w:r w:rsidR="00A728AF">
        <w:rPr>
          <w:rFonts w:ascii="Verdana" w:hAnsi="Verdana"/>
          <w:b/>
          <w:bCs/>
          <w:color w:val="4472C4" w:themeColor="accent1"/>
          <w:lang w:val="de-DE"/>
        </w:rPr>
        <w:t xml:space="preserve"> VON TREMELIMUMAB/DURVALUMAB</w:t>
      </w:r>
    </w:p>
    <w:p w14:paraId="217D3478" w14:textId="42488E4B" w:rsidR="005A3446" w:rsidRPr="00411994" w:rsidRDefault="005A3446" w:rsidP="005A3446">
      <w:pPr>
        <w:jc w:val="both"/>
        <w:rPr>
          <w:rFonts w:ascii="Verdana" w:hAnsi="Verdana"/>
          <w:lang w:val="de-DE"/>
        </w:rPr>
      </w:pPr>
      <w:proofErr w:type="spellStart"/>
      <w:r w:rsidRPr="00411994">
        <w:rPr>
          <w:rFonts w:ascii="Verdana" w:hAnsi="Verdana"/>
          <w:lang w:val="de-DE"/>
        </w:rPr>
        <w:t>Imjudo</w:t>
      </w:r>
      <w:proofErr w:type="spellEnd"/>
      <w:r w:rsidR="00A728AF">
        <w:rPr>
          <w:rFonts w:ascii="Verdana" w:hAnsi="Verdana"/>
          <w:lang w:val="de-DE"/>
        </w:rPr>
        <w:t xml:space="preserve"> (Tremelimumab)</w:t>
      </w:r>
      <w:r w:rsidRPr="00411994">
        <w:rPr>
          <w:rFonts w:ascii="Verdana" w:hAnsi="Verdana"/>
          <w:lang w:val="de-DE"/>
        </w:rPr>
        <w:t xml:space="preserve"> in Kombination mit </w:t>
      </w:r>
      <w:r w:rsidR="000F6FB8">
        <w:rPr>
          <w:rFonts w:ascii="Verdana" w:hAnsi="Verdana"/>
          <w:lang w:val="de-DE"/>
        </w:rPr>
        <w:t xml:space="preserve">Durvalumab </w:t>
      </w:r>
      <w:r w:rsidRPr="00411994">
        <w:rPr>
          <w:rFonts w:ascii="Verdana" w:hAnsi="Verdana"/>
          <w:lang w:val="de-DE"/>
        </w:rPr>
        <w:t xml:space="preserve">ist eine neuartige Immuntherapie-Behandlungsoption </w:t>
      </w:r>
      <w:r w:rsidRPr="00DC7E54">
        <w:rPr>
          <w:rFonts w:ascii="Verdana" w:hAnsi="Verdana"/>
          <w:lang w:val="de-DE"/>
        </w:rPr>
        <w:t xml:space="preserve">und die erste </w:t>
      </w:r>
      <w:r w:rsidR="00202A7D">
        <w:rPr>
          <w:rFonts w:ascii="Verdana" w:hAnsi="Verdana"/>
          <w:lang w:val="de-DE"/>
        </w:rPr>
        <w:t>IO-IO</w:t>
      </w:r>
      <w:r w:rsidRPr="00DC7E54">
        <w:rPr>
          <w:rFonts w:ascii="Verdana" w:hAnsi="Verdana"/>
          <w:lang w:val="de-DE"/>
        </w:rPr>
        <w:t xml:space="preserve"> Kombinationstherapie für die </w:t>
      </w:r>
      <w:r w:rsidR="00CD5C7A">
        <w:rPr>
          <w:rFonts w:ascii="Verdana" w:hAnsi="Verdana"/>
          <w:lang w:val="de-DE"/>
        </w:rPr>
        <w:t>E</w:t>
      </w:r>
      <w:r w:rsidRPr="00DC7E54">
        <w:rPr>
          <w:rFonts w:ascii="Verdana" w:hAnsi="Verdana"/>
          <w:lang w:val="de-DE"/>
        </w:rPr>
        <w:t>rs</w:t>
      </w:r>
      <w:r w:rsidR="00CD5C7A">
        <w:rPr>
          <w:rFonts w:ascii="Verdana" w:hAnsi="Verdana"/>
          <w:lang w:val="de-DE"/>
        </w:rPr>
        <w:t>tlinien</w:t>
      </w:r>
      <w:r w:rsidR="00D9099D">
        <w:rPr>
          <w:rFonts w:ascii="Verdana" w:hAnsi="Verdana"/>
          <w:lang w:val="de-DE"/>
        </w:rPr>
        <w:t>t</w:t>
      </w:r>
      <w:r w:rsidR="00CE36E4">
        <w:rPr>
          <w:rFonts w:ascii="Verdana" w:hAnsi="Verdana"/>
          <w:lang w:val="de-DE"/>
        </w:rPr>
        <w:t xml:space="preserve">herapie </w:t>
      </w:r>
      <w:r w:rsidR="00D9099D">
        <w:rPr>
          <w:rFonts w:ascii="Verdana" w:hAnsi="Verdana"/>
          <w:lang w:val="de-DE"/>
        </w:rPr>
        <w:t>bei</w:t>
      </w:r>
      <w:r w:rsidRPr="00DC7E54">
        <w:rPr>
          <w:rFonts w:ascii="Verdana" w:hAnsi="Verdana"/>
          <w:lang w:val="de-DE"/>
        </w:rPr>
        <w:t xml:space="preserve"> </w:t>
      </w:r>
      <w:proofErr w:type="spellStart"/>
      <w:r w:rsidRPr="00DC7E54">
        <w:rPr>
          <w:rFonts w:ascii="Verdana" w:hAnsi="Verdana"/>
          <w:lang w:val="de-DE"/>
        </w:rPr>
        <w:t>uHCC</w:t>
      </w:r>
      <w:proofErr w:type="spellEnd"/>
      <w:r w:rsidRPr="00411994">
        <w:rPr>
          <w:rFonts w:ascii="Verdana" w:hAnsi="Verdana"/>
          <w:lang w:val="de-DE"/>
        </w:rPr>
        <w:t xml:space="preserve">. </w:t>
      </w:r>
      <w:r w:rsidR="00CE3716" w:rsidRPr="00CE3716">
        <w:rPr>
          <w:rFonts w:ascii="Verdana" w:hAnsi="Verdana"/>
          <w:lang w:val="de-DE"/>
        </w:rPr>
        <w:t xml:space="preserve">Eine einmalige Initialdosis des Anti-CTLA-4-Antikörpers </w:t>
      </w:r>
      <w:proofErr w:type="spellStart"/>
      <w:r w:rsidR="00CE3716" w:rsidRPr="00CE3716">
        <w:rPr>
          <w:rFonts w:ascii="Verdana" w:hAnsi="Verdana"/>
          <w:lang w:val="de-DE"/>
        </w:rPr>
        <w:t>Imjudo</w:t>
      </w:r>
      <w:proofErr w:type="spellEnd"/>
      <w:r w:rsidR="00CE3716" w:rsidRPr="00CE3716">
        <w:rPr>
          <w:rFonts w:ascii="Verdana" w:hAnsi="Verdana"/>
          <w:lang w:val="de-DE"/>
        </w:rPr>
        <w:t xml:space="preserve"> in Kombination mit dem Anti-PD-L1-Antikörper </w:t>
      </w:r>
      <w:proofErr w:type="spellStart"/>
      <w:r w:rsidR="00CE3716" w:rsidRPr="00CE3716">
        <w:rPr>
          <w:rFonts w:ascii="Verdana" w:hAnsi="Verdana"/>
          <w:lang w:val="de-DE"/>
        </w:rPr>
        <w:t>Imfinzi</w:t>
      </w:r>
      <w:proofErr w:type="spellEnd"/>
      <w:r w:rsidR="00CE3716" w:rsidRPr="00CE3716">
        <w:rPr>
          <w:rFonts w:ascii="Verdana" w:hAnsi="Verdana"/>
          <w:lang w:val="de-DE"/>
        </w:rPr>
        <w:t xml:space="preserve"> a</w:t>
      </w:r>
      <w:r w:rsidR="00CE36E4">
        <w:rPr>
          <w:rFonts w:ascii="Verdana" w:hAnsi="Verdana"/>
          <w:lang w:val="de-DE"/>
        </w:rPr>
        <w:t>m</w:t>
      </w:r>
      <w:r w:rsidR="00CE3716" w:rsidRPr="00CE3716">
        <w:rPr>
          <w:rFonts w:ascii="Verdana" w:hAnsi="Verdana"/>
          <w:lang w:val="de-DE"/>
        </w:rPr>
        <w:t xml:space="preserve"> Tag 1 </w:t>
      </w:r>
      <w:r w:rsidR="00695488">
        <w:rPr>
          <w:rFonts w:ascii="Verdana" w:hAnsi="Verdana"/>
          <w:lang w:val="de-DE"/>
        </w:rPr>
        <w:t>(</w:t>
      </w:r>
      <w:r w:rsidR="00CE3716" w:rsidRPr="00CE3716">
        <w:rPr>
          <w:rFonts w:ascii="Verdana" w:hAnsi="Verdana"/>
          <w:lang w:val="de-DE"/>
        </w:rPr>
        <w:t>Zyklus 1</w:t>
      </w:r>
      <w:r w:rsidR="00695488">
        <w:rPr>
          <w:rFonts w:ascii="Verdana" w:hAnsi="Verdana"/>
          <w:lang w:val="de-DE"/>
        </w:rPr>
        <w:t>)</w:t>
      </w:r>
      <w:r w:rsidR="00CE3716" w:rsidRPr="00CE3716">
        <w:rPr>
          <w:rFonts w:ascii="Verdana" w:hAnsi="Verdana"/>
          <w:lang w:val="de-DE"/>
        </w:rPr>
        <w:t xml:space="preserve"> gefolgt von einer </w:t>
      </w:r>
      <w:proofErr w:type="spellStart"/>
      <w:r w:rsidR="00CE3716" w:rsidRPr="00CE3716">
        <w:rPr>
          <w:rFonts w:ascii="Verdana" w:hAnsi="Verdana"/>
          <w:lang w:val="de-DE"/>
        </w:rPr>
        <w:t>I</w:t>
      </w:r>
      <w:r w:rsidR="003B2768">
        <w:rPr>
          <w:rFonts w:ascii="Verdana" w:hAnsi="Verdana"/>
          <w:lang w:val="de-DE"/>
        </w:rPr>
        <w:t>mfinzi</w:t>
      </w:r>
      <w:proofErr w:type="spellEnd"/>
      <w:r w:rsidR="00CE3716" w:rsidRPr="00CE3716">
        <w:rPr>
          <w:rFonts w:ascii="Verdana" w:hAnsi="Verdana"/>
          <w:lang w:val="de-DE"/>
        </w:rPr>
        <w:t>-Monotherapie alle vier Wochen</w:t>
      </w:r>
      <w:r w:rsidR="00CE36E4">
        <w:rPr>
          <w:rFonts w:ascii="Verdana" w:hAnsi="Verdana"/>
          <w:lang w:val="de-DE"/>
        </w:rPr>
        <w:t>,</w:t>
      </w:r>
      <w:r w:rsidR="00CE3716" w:rsidRPr="00CE3716">
        <w:rPr>
          <w:rFonts w:ascii="Verdana" w:hAnsi="Verdana"/>
          <w:lang w:val="de-DE"/>
        </w:rPr>
        <w:t xml:space="preserve"> verbessert die Aktivierung und Funktion der T-Zellen des Tumors in mehreren Stadien der Immunantwort und maximiert die Immunität gegen den Tumor</w:t>
      </w:r>
      <w:r w:rsidRPr="00411994">
        <w:rPr>
          <w:rFonts w:ascii="Verdana" w:hAnsi="Verdana"/>
          <w:lang w:val="de-DE"/>
        </w:rPr>
        <w:t>.</w:t>
      </w:r>
      <w:r w:rsidR="007C0ABC">
        <w:rPr>
          <w:rFonts w:ascii="Verdana" w:hAnsi="Verdana"/>
          <w:vertAlign w:val="superscript"/>
          <w:lang w:val="de-DE"/>
        </w:rPr>
        <w:t>7</w:t>
      </w:r>
      <w:r w:rsidRPr="00411994">
        <w:rPr>
          <w:rFonts w:ascii="Verdana" w:hAnsi="Verdana"/>
          <w:vertAlign w:val="superscript"/>
          <w:lang w:val="de-DE"/>
        </w:rPr>
        <w:t>,</w:t>
      </w:r>
      <w:r w:rsidR="007C0ABC">
        <w:rPr>
          <w:rFonts w:ascii="Verdana" w:hAnsi="Verdana"/>
          <w:vertAlign w:val="superscript"/>
          <w:lang w:val="de-DE"/>
        </w:rPr>
        <w:t>8</w:t>
      </w:r>
    </w:p>
    <w:p w14:paraId="5B52A44D" w14:textId="77777777" w:rsidR="005A3446" w:rsidRDefault="005A3446" w:rsidP="005A3446">
      <w:pPr>
        <w:jc w:val="both"/>
        <w:rPr>
          <w:rFonts w:ascii="Verdana" w:hAnsi="Verdana"/>
          <w:color w:val="FF0000"/>
          <w:sz w:val="20"/>
          <w:szCs w:val="20"/>
          <w:lang w:val="de-DE"/>
        </w:rPr>
      </w:pPr>
    </w:p>
    <w:p w14:paraId="65FF0903" w14:textId="00A71435" w:rsidR="00BE6EE6" w:rsidRPr="00BE6EE6" w:rsidRDefault="00BE6EE6" w:rsidP="005A3446">
      <w:pPr>
        <w:jc w:val="both"/>
        <w:rPr>
          <w:rFonts w:ascii="Verdana" w:hAnsi="Verdana"/>
          <w:b/>
          <w:bCs/>
          <w:color w:val="4472C4" w:themeColor="accent1"/>
          <w:sz w:val="20"/>
          <w:szCs w:val="20"/>
          <w:lang w:val="de-DE"/>
        </w:rPr>
      </w:pPr>
      <w:r w:rsidRPr="00BE6EE6">
        <w:rPr>
          <w:rFonts w:ascii="Verdana" w:hAnsi="Verdana"/>
          <w:b/>
          <w:bCs/>
          <w:color w:val="4472C4" w:themeColor="accent1"/>
          <w:sz w:val="20"/>
          <w:szCs w:val="20"/>
          <w:lang w:val="de-DE"/>
        </w:rPr>
        <w:t>DIE HIMALAYA STUDIE</w:t>
      </w:r>
    </w:p>
    <w:p w14:paraId="3FE75208" w14:textId="6F64D9A3" w:rsidR="00757FFA" w:rsidRPr="00A3439E" w:rsidRDefault="005A3446" w:rsidP="00757FFA">
      <w:pPr>
        <w:jc w:val="both"/>
        <w:rPr>
          <w:rFonts w:ascii="Verdana" w:hAnsi="Verdana"/>
          <w:noProof/>
          <w:lang w:val="de-DE"/>
        </w:rPr>
      </w:pPr>
      <w:r w:rsidRPr="00411994">
        <w:rPr>
          <w:rFonts w:ascii="Verdana" w:hAnsi="Verdana"/>
          <w:lang w:val="de-DE"/>
        </w:rPr>
        <w:t xml:space="preserve">HIMALAYA war die erste globale, multizentrische, offene, randomisierte Phase-III-Studie zur Evaluierung der Wirksamkeit und Sicherheit von </w:t>
      </w:r>
      <w:r w:rsidR="00A728AF" w:rsidRPr="008E29D4">
        <w:rPr>
          <w:rStyle w:val="normaltextrun"/>
          <w:rFonts w:ascii="Verdana" w:hAnsi="Verdana" w:cs="Segoe UI"/>
          <w:shd w:val="clear" w:color="auto" w:fill="FFFFFF"/>
          <w:lang w:val="de-DE"/>
        </w:rPr>
        <w:t>Tremelimumab/Durvalumab</w:t>
      </w:r>
      <w:r w:rsidRPr="008E29D4">
        <w:rPr>
          <w:rFonts w:ascii="Verdana" w:hAnsi="Verdana"/>
          <w:lang w:val="de-DE"/>
        </w:rPr>
        <w:t xml:space="preserve"> </w:t>
      </w:r>
      <w:r w:rsidRPr="00411994">
        <w:rPr>
          <w:rFonts w:ascii="Verdana" w:hAnsi="Verdana"/>
          <w:lang w:val="de-DE"/>
        </w:rPr>
        <w:t xml:space="preserve">im Vergleich zu </w:t>
      </w:r>
      <w:proofErr w:type="spellStart"/>
      <w:r w:rsidRPr="00411994">
        <w:rPr>
          <w:rFonts w:ascii="Verdana" w:hAnsi="Verdana"/>
          <w:lang w:val="de-DE"/>
        </w:rPr>
        <w:t>Sorafenib</w:t>
      </w:r>
      <w:proofErr w:type="spellEnd"/>
      <w:r w:rsidR="00CD5C7A">
        <w:rPr>
          <w:rFonts w:ascii="Verdana" w:hAnsi="Verdana"/>
          <w:lang w:val="de-DE"/>
        </w:rPr>
        <w:t>,</w:t>
      </w:r>
      <w:r w:rsidRPr="00411994">
        <w:rPr>
          <w:rFonts w:ascii="Verdana" w:hAnsi="Verdana"/>
          <w:lang w:val="de-DE"/>
        </w:rPr>
        <w:t xml:space="preserve"> bei Patienten mit </w:t>
      </w:r>
      <w:proofErr w:type="spellStart"/>
      <w:r>
        <w:rPr>
          <w:rFonts w:ascii="Verdana" w:hAnsi="Verdana"/>
          <w:lang w:val="de-DE"/>
        </w:rPr>
        <w:t>u</w:t>
      </w:r>
      <w:r w:rsidRPr="00411994">
        <w:rPr>
          <w:rFonts w:ascii="Verdana" w:hAnsi="Verdana"/>
          <w:lang w:val="de-DE"/>
        </w:rPr>
        <w:t>HCC</w:t>
      </w:r>
      <w:proofErr w:type="spellEnd"/>
      <w:r w:rsidRPr="00411994">
        <w:rPr>
          <w:rFonts w:ascii="Verdana" w:hAnsi="Verdana"/>
          <w:lang w:val="de-DE"/>
        </w:rPr>
        <w:t>, die zuvor keine systemische Therapie erh</w:t>
      </w:r>
      <w:r w:rsidR="00CD5C7A">
        <w:rPr>
          <w:rFonts w:ascii="Verdana" w:hAnsi="Verdana"/>
          <w:lang w:val="de-DE"/>
        </w:rPr>
        <w:t>ielten</w:t>
      </w:r>
      <w:r w:rsidRPr="00411994">
        <w:rPr>
          <w:rFonts w:ascii="Verdana" w:hAnsi="Verdana"/>
          <w:lang w:val="de-DE"/>
        </w:rPr>
        <w:t>.</w:t>
      </w:r>
      <w:r w:rsidR="007C0ABC">
        <w:rPr>
          <w:rFonts w:ascii="Verdana" w:hAnsi="Verdana"/>
          <w:vertAlign w:val="superscript"/>
          <w:lang w:val="de-DE"/>
        </w:rPr>
        <w:t>7</w:t>
      </w:r>
      <w:r w:rsidRPr="00411994">
        <w:rPr>
          <w:rFonts w:ascii="Verdana" w:hAnsi="Verdana"/>
          <w:vertAlign w:val="superscript"/>
          <w:lang w:val="de-DE"/>
        </w:rPr>
        <w:t xml:space="preserve"> </w:t>
      </w:r>
      <w:r w:rsidR="00757FFA" w:rsidRPr="00A3439E">
        <w:rPr>
          <w:rFonts w:ascii="Verdana" w:hAnsi="Verdana"/>
          <w:noProof/>
          <w:lang w:val="de-DE"/>
        </w:rPr>
        <w:t xml:space="preserve">HIMALAYA ist die bislang einzige Phase-3-Studie, die </w:t>
      </w:r>
      <w:r w:rsidR="00CD5C7A">
        <w:rPr>
          <w:rFonts w:ascii="Verdana" w:hAnsi="Verdana"/>
          <w:noProof/>
          <w:lang w:val="de-DE"/>
        </w:rPr>
        <w:t xml:space="preserve">über </w:t>
      </w:r>
      <w:r w:rsidR="00757FFA" w:rsidRPr="00A3439E">
        <w:rPr>
          <w:rFonts w:ascii="Verdana" w:hAnsi="Verdana"/>
          <w:noProof/>
          <w:lang w:val="de-DE"/>
        </w:rPr>
        <w:t xml:space="preserve">eine </w:t>
      </w:r>
      <w:r w:rsidR="00216F58" w:rsidRPr="00216F58">
        <w:rPr>
          <w:rFonts w:ascii="Verdana" w:hAnsi="Verdana"/>
          <w:b/>
          <w:bCs/>
          <w:noProof/>
          <w:lang w:val="de-DE"/>
        </w:rPr>
        <w:t>3- und</w:t>
      </w:r>
      <w:r w:rsidR="00216F58">
        <w:rPr>
          <w:rFonts w:ascii="Verdana" w:hAnsi="Verdana"/>
          <w:noProof/>
          <w:lang w:val="de-DE"/>
        </w:rPr>
        <w:t xml:space="preserve"> </w:t>
      </w:r>
      <w:r w:rsidR="00757FFA" w:rsidRPr="00944E9E">
        <w:rPr>
          <w:rFonts w:ascii="Verdana" w:hAnsi="Verdana"/>
          <w:b/>
          <w:bCs/>
          <w:noProof/>
          <w:lang w:val="de-DE"/>
        </w:rPr>
        <w:t>4-jährige Nachbeobachtung</w:t>
      </w:r>
      <w:r w:rsidR="00CD5C7A">
        <w:rPr>
          <w:rFonts w:ascii="Verdana" w:hAnsi="Verdana"/>
          <w:b/>
          <w:bCs/>
          <w:noProof/>
          <w:lang w:val="de-DE"/>
        </w:rPr>
        <w:t>szeit</w:t>
      </w:r>
      <w:r w:rsidR="00757FFA" w:rsidRPr="00A3439E">
        <w:rPr>
          <w:rFonts w:ascii="Verdana" w:hAnsi="Verdana"/>
          <w:noProof/>
          <w:lang w:val="de-DE"/>
        </w:rPr>
        <w:t xml:space="preserve"> bei uHCC berichtet.</w:t>
      </w:r>
      <w:r w:rsidR="007C0ABC">
        <w:rPr>
          <w:rFonts w:ascii="Verdana" w:hAnsi="Verdana"/>
          <w:noProof/>
          <w:vertAlign w:val="superscript"/>
          <w:lang w:val="de-DE"/>
        </w:rPr>
        <w:t>5</w:t>
      </w:r>
    </w:p>
    <w:p w14:paraId="27EF72DC" w14:textId="77777777" w:rsidR="005A3446" w:rsidRDefault="005A3446" w:rsidP="005A3446">
      <w:pPr>
        <w:jc w:val="both"/>
        <w:rPr>
          <w:rFonts w:ascii="Verdana" w:hAnsi="Verdana"/>
          <w:lang w:val="de-DE"/>
        </w:rPr>
      </w:pPr>
    </w:p>
    <w:p w14:paraId="16049280" w14:textId="7C2DD963" w:rsidR="00757FFA" w:rsidRPr="00BE6EE6" w:rsidRDefault="00757FFA" w:rsidP="00757FFA">
      <w:pPr>
        <w:jc w:val="both"/>
        <w:rPr>
          <w:rFonts w:ascii="Verdana" w:hAnsi="Verdana"/>
          <w:b/>
          <w:bCs/>
          <w:color w:val="4472C4" w:themeColor="accent1"/>
          <w:sz w:val="20"/>
          <w:szCs w:val="20"/>
          <w:lang w:val="de-DE"/>
        </w:rPr>
      </w:pPr>
      <w:r w:rsidRPr="00BE6EE6">
        <w:rPr>
          <w:rFonts w:ascii="Verdana" w:hAnsi="Verdana"/>
          <w:b/>
          <w:bCs/>
          <w:color w:val="4472C4" w:themeColor="accent1"/>
          <w:sz w:val="20"/>
          <w:szCs w:val="20"/>
          <w:lang w:val="de-DE"/>
        </w:rPr>
        <w:t>DIE HIMALAYA STUDIE</w:t>
      </w:r>
      <w:r>
        <w:rPr>
          <w:rFonts w:ascii="Verdana" w:hAnsi="Verdana"/>
          <w:b/>
          <w:bCs/>
          <w:color w:val="4472C4" w:themeColor="accent1"/>
          <w:sz w:val="20"/>
          <w:szCs w:val="20"/>
          <w:lang w:val="de-DE"/>
        </w:rPr>
        <w:t xml:space="preserve"> – WIRKSAMKEIT</w:t>
      </w:r>
      <w:r w:rsidR="006D1E6A">
        <w:rPr>
          <w:rFonts w:ascii="Verdana" w:hAnsi="Verdana"/>
          <w:b/>
          <w:bCs/>
          <w:color w:val="4472C4" w:themeColor="accent1"/>
          <w:sz w:val="20"/>
          <w:szCs w:val="20"/>
          <w:lang w:val="de-DE"/>
        </w:rPr>
        <w:t>S</w:t>
      </w:r>
      <w:r>
        <w:rPr>
          <w:rFonts w:ascii="Verdana" w:hAnsi="Verdana"/>
          <w:b/>
          <w:bCs/>
          <w:color w:val="4472C4" w:themeColor="accent1"/>
          <w:sz w:val="20"/>
          <w:szCs w:val="20"/>
          <w:lang w:val="de-DE"/>
        </w:rPr>
        <w:t>DATEN</w:t>
      </w:r>
    </w:p>
    <w:p w14:paraId="26D00961" w14:textId="77777777" w:rsidR="00757FFA" w:rsidRPr="00411994" w:rsidRDefault="00757FFA" w:rsidP="005A3446">
      <w:pPr>
        <w:jc w:val="both"/>
        <w:rPr>
          <w:rFonts w:ascii="Verdana" w:hAnsi="Verdana"/>
          <w:lang w:val="de-DE"/>
        </w:rPr>
      </w:pPr>
    </w:p>
    <w:p w14:paraId="28163997" w14:textId="5367214F" w:rsidR="005A3446" w:rsidRPr="008E29D4" w:rsidRDefault="005A3446" w:rsidP="005A3446">
      <w:pPr>
        <w:jc w:val="both"/>
        <w:rPr>
          <w:rFonts w:ascii="Verdana" w:hAnsi="Verdana"/>
          <w:lang w:val="de-DE"/>
        </w:rPr>
      </w:pPr>
      <w:r w:rsidRPr="00411994">
        <w:rPr>
          <w:rFonts w:ascii="Verdana" w:hAnsi="Verdana"/>
          <w:lang w:val="de-DE"/>
        </w:rPr>
        <w:t xml:space="preserve">Die HIMALAYA-Studie erreichte ihren primären Endpunkt Gesamtüberleben (OS) </w:t>
      </w:r>
      <w:r w:rsidR="00637E6F">
        <w:rPr>
          <w:rFonts w:ascii="Verdana" w:hAnsi="Verdana"/>
          <w:lang w:val="de-DE"/>
        </w:rPr>
        <w:t>mit</w:t>
      </w:r>
      <w:r w:rsidRPr="00411994">
        <w:rPr>
          <w:rFonts w:ascii="Verdana" w:hAnsi="Verdana"/>
          <w:lang w:val="de-DE"/>
        </w:rPr>
        <w:t xml:space="preserve"> </w:t>
      </w:r>
      <w:r w:rsidR="00A728AF" w:rsidRPr="008E29D4">
        <w:rPr>
          <w:rStyle w:val="normaltextrun"/>
          <w:rFonts w:ascii="Verdana" w:hAnsi="Verdana" w:cs="Segoe UI"/>
          <w:shd w:val="clear" w:color="auto" w:fill="FFFFFF"/>
          <w:lang w:val="de-DE"/>
        </w:rPr>
        <w:t>Tremelimumab/Durvalumab</w:t>
      </w:r>
      <w:r w:rsidRPr="008E29D4">
        <w:rPr>
          <w:rFonts w:ascii="Verdana" w:hAnsi="Verdana"/>
          <w:lang w:val="de-DE"/>
        </w:rPr>
        <w:t xml:space="preserve"> im Vergleich zu </w:t>
      </w:r>
      <w:proofErr w:type="spellStart"/>
      <w:r w:rsidRPr="008E29D4">
        <w:rPr>
          <w:rFonts w:ascii="Verdana" w:hAnsi="Verdana"/>
          <w:lang w:val="de-DE"/>
        </w:rPr>
        <w:t>Sorafenib</w:t>
      </w:r>
      <w:proofErr w:type="spellEnd"/>
      <w:r w:rsidRPr="008E29D4">
        <w:rPr>
          <w:rFonts w:ascii="Verdana" w:hAnsi="Verdana"/>
          <w:lang w:val="de-DE"/>
        </w:rPr>
        <w:t>. Beim Daten</w:t>
      </w:r>
      <w:r w:rsidR="00637E6F" w:rsidRPr="008E29D4">
        <w:rPr>
          <w:rFonts w:ascii="Verdana" w:hAnsi="Verdana"/>
          <w:lang w:val="de-DE"/>
        </w:rPr>
        <w:t>schnitt</w:t>
      </w:r>
      <w:r w:rsidRPr="008E29D4">
        <w:rPr>
          <w:rFonts w:ascii="Verdana" w:hAnsi="Verdana"/>
          <w:lang w:val="de-DE"/>
        </w:rPr>
        <w:t xml:space="preserve"> zeigte </w:t>
      </w:r>
      <w:r w:rsidR="00A728AF" w:rsidRPr="008E29D4">
        <w:rPr>
          <w:rFonts w:ascii="Verdana" w:hAnsi="Verdana"/>
          <w:lang w:val="de-DE"/>
        </w:rPr>
        <w:t xml:space="preserve">die </w:t>
      </w:r>
      <w:r w:rsidR="00A728AF" w:rsidRPr="008E29D4">
        <w:rPr>
          <w:rStyle w:val="normaltextrun"/>
          <w:rFonts w:ascii="Verdana" w:hAnsi="Verdana" w:cs="Segoe UI"/>
          <w:shd w:val="clear" w:color="auto" w:fill="FFFFFF"/>
          <w:lang w:val="de-DE"/>
        </w:rPr>
        <w:t>Tremelimumab/Durvalumab Kombination</w:t>
      </w:r>
      <w:r w:rsidRPr="008E29D4">
        <w:rPr>
          <w:rFonts w:ascii="Verdana" w:hAnsi="Verdana"/>
          <w:lang w:val="de-DE"/>
        </w:rPr>
        <w:t xml:space="preserve"> einen statistisch signifikanten und klinisch bedeutsamen OS-Nutzen im Vergleich zu </w:t>
      </w:r>
      <w:proofErr w:type="spellStart"/>
      <w:r w:rsidRPr="008E29D4">
        <w:rPr>
          <w:rFonts w:ascii="Verdana" w:hAnsi="Verdana"/>
          <w:lang w:val="de-DE"/>
        </w:rPr>
        <w:t>Sorafenib</w:t>
      </w:r>
      <w:proofErr w:type="spellEnd"/>
      <w:r w:rsidRPr="008E29D4">
        <w:rPr>
          <w:rFonts w:ascii="Verdana" w:hAnsi="Verdana"/>
          <w:lang w:val="de-DE"/>
        </w:rPr>
        <w:t xml:space="preserve"> bei Patienten mit </w:t>
      </w:r>
      <w:proofErr w:type="spellStart"/>
      <w:r w:rsidRPr="008E29D4">
        <w:rPr>
          <w:rFonts w:ascii="Verdana" w:hAnsi="Verdana"/>
          <w:lang w:val="de-DE"/>
        </w:rPr>
        <w:t>uHCC</w:t>
      </w:r>
      <w:proofErr w:type="spellEnd"/>
      <w:r w:rsidRPr="008E29D4">
        <w:rPr>
          <w:rFonts w:ascii="Verdana" w:hAnsi="Verdana"/>
          <w:lang w:val="de-DE"/>
        </w:rPr>
        <w:t xml:space="preserve"> [HR 0,78 (96,02%-KI: 0,65-0,93; p = 0,0035)].</w:t>
      </w:r>
      <w:r w:rsidR="007C0ABC" w:rsidRPr="008E29D4">
        <w:rPr>
          <w:rFonts w:ascii="Verdana" w:hAnsi="Verdana"/>
          <w:vertAlign w:val="superscript"/>
          <w:lang w:val="de-DE"/>
        </w:rPr>
        <w:t>7</w:t>
      </w:r>
    </w:p>
    <w:p w14:paraId="77AC1D42" w14:textId="3675BD59" w:rsidR="005A3446" w:rsidRPr="008E29D4" w:rsidRDefault="005A3446" w:rsidP="005A3446">
      <w:pPr>
        <w:pStyle w:val="ListParagraph"/>
        <w:numPr>
          <w:ilvl w:val="0"/>
          <w:numId w:val="5"/>
        </w:numPr>
        <w:jc w:val="both"/>
        <w:rPr>
          <w:rFonts w:ascii="Verdana" w:hAnsi="Verdana"/>
          <w:lang w:val="de-DE"/>
        </w:rPr>
      </w:pPr>
      <w:r w:rsidRPr="008E29D4">
        <w:rPr>
          <w:rFonts w:ascii="Verdana" w:hAnsi="Verdana"/>
          <w:lang w:val="de-DE"/>
        </w:rPr>
        <w:t xml:space="preserve">Die Überlebensraten für </w:t>
      </w:r>
      <w:r w:rsidR="00A728AF" w:rsidRPr="008E29D4">
        <w:rPr>
          <w:rStyle w:val="normaltextrun"/>
          <w:rFonts w:ascii="Verdana" w:hAnsi="Verdana" w:cs="Segoe UI"/>
          <w:shd w:val="clear" w:color="auto" w:fill="FFFFFF"/>
          <w:lang w:val="de-DE"/>
        </w:rPr>
        <w:t>Tremelimumab/Durvalumab</w:t>
      </w:r>
      <w:r w:rsidRPr="008E29D4">
        <w:rPr>
          <w:rFonts w:ascii="Verdana" w:hAnsi="Verdana"/>
          <w:lang w:val="de-DE"/>
        </w:rPr>
        <w:t xml:space="preserve"> vs. </w:t>
      </w:r>
      <w:proofErr w:type="spellStart"/>
      <w:r w:rsidRPr="008E29D4">
        <w:rPr>
          <w:rFonts w:ascii="Verdana" w:hAnsi="Verdana"/>
          <w:lang w:val="de-DE"/>
        </w:rPr>
        <w:t>Sorafenib</w:t>
      </w:r>
      <w:proofErr w:type="spellEnd"/>
      <w:r w:rsidRPr="008E29D4">
        <w:rPr>
          <w:rFonts w:ascii="Verdana" w:hAnsi="Verdana"/>
          <w:lang w:val="de-DE"/>
        </w:rPr>
        <w:t xml:space="preserve"> nach 36 Monaten betrugen 30,7% (95%-KI: 25,8-35,7) bzw. 20,2% (95%-KI: 15,8-25,1).</w:t>
      </w:r>
      <w:r w:rsidR="007C0ABC" w:rsidRPr="008E29D4">
        <w:rPr>
          <w:rFonts w:ascii="Verdana" w:hAnsi="Verdana"/>
          <w:vertAlign w:val="superscript"/>
          <w:lang w:val="de-DE"/>
        </w:rPr>
        <w:t>7</w:t>
      </w:r>
      <w:r w:rsidRPr="008E29D4">
        <w:rPr>
          <w:rFonts w:ascii="Verdana" w:hAnsi="Verdana"/>
          <w:lang w:val="de-DE"/>
        </w:rPr>
        <w:t xml:space="preserve"> </w:t>
      </w:r>
    </w:p>
    <w:p w14:paraId="00DB32A0" w14:textId="5DEDDD84" w:rsidR="00FD3F3E" w:rsidRPr="008E29D4" w:rsidRDefault="005A3446" w:rsidP="00FD3F3E">
      <w:pPr>
        <w:pStyle w:val="ListParagraph"/>
        <w:numPr>
          <w:ilvl w:val="0"/>
          <w:numId w:val="5"/>
        </w:numPr>
        <w:spacing w:after="0"/>
        <w:jc w:val="both"/>
        <w:rPr>
          <w:rFonts w:ascii="Verdana" w:hAnsi="Verdana"/>
          <w:lang w:val="de-DE"/>
        </w:rPr>
      </w:pPr>
      <w:r w:rsidRPr="008E29D4">
        <w:rPr>
          <w:rFonts w:ascii="Verdana" w:hAnsi="Verdana"/>
          <w:lang w:val="de-DE"/>
        </w:rPr>
        <w:t xml:space="preserve">Die Kombination zeigte auch eine Verbesserung der objektiven Ansprechrate (ORR) pro Prüfarzt: 20,1% mit </w:t>
      </w:r>
      <w:r w:rsidR="00A728AF" w:rsidRPr="008E29D4">
        <w:rPr>
          <w:rStyle w:val="normaltextrun"/>
          <w:rFonts w:ascii="Verdana" w:hAnsi="Verdana" w:cs="Segoe UI"/>
          <w:shd w:val="clear" w:color="auto" w:fill="FFFFFF"/>
          <w:lang w:val="de-DE"/>
        </w:rPr>
        <w:t>Tremelimumab/Durvalumab</w:t>
      </w:r>
      <w:r w:rsidRPr="008E29D4">
        <w:rPr>
          <w:rFonts w:ascii="Verdana" w:hAnsi="Verdana"/>
          <w:lang w:val="de-DE"/>
        </w:rPr>
        <w:t xml:space="preserve"> vs. 5,1% mit Sorafenib.</w:t>
      </w:r>
      <w:r w:rsidR="007C0ABC" w:rsidRPr="008E29D4">
        <w:rPr>
          <w:rFonts w:ascii="Verdana" w:hAnsi="Verdana"/>
          <w:vertAlign w:val="superscript"/>
          <w:lang w:val="de-DE"/>
        </w:rPr>
        <w:t>7</w:t>
      </w:r>
      <w:r w:rsidRPr="008E29D4">
        <w:rPr>
          <w:rFonts w:ascii="Verdana" w:hAnsi="Verdana"/>
          <w:lang w:val="de-DE"/>
        </w:rPr>
        <w:t xml:space="preserve"> </w:t>
      </w:r>
    </w:p>
    <w:p w14:paraId="0360A888" w14:textId="0957F729" w:rsidR="005A3446" w:rsidRPr="008E29D4" w:rsidRDefault="005A3446" w:rsidP="00FD3F3E">
      <w:pPr>
        <w:jc w:val="both"/>
        <w:rPr>
          <w:rFonts w:ascii="Verdana" w:hAnsi="Verdana"/>
          <w:lang w:val="de-DE"/>
        </w:rPr>
      </w:pPr>
      <w:r w:rsidRPr="008E29D4">
        <w:rPr>
          <w:rFonts w:ascii="Verdana" w:hAnsi="Verdana"/>
          <w:lang w:val="de-DE"/>
        </w:rPr>
        <w:t xml:space="preserve">Auf dem ESMO </w:t>
      </w:r>
      <w:r w:rsidR="00FD3F3E" w:rsidRPr="008E29D4">
        <w:rPr>
          <w:rFonts w:ascii="Verdana" w:hAnsi="Verdana"/>
          <w:lang w:val="de-DE"/>
        </w:rPr>
        <w:t>GI</w:t>
      </w:r>
      <w:r w:rsidRPr="008E29D4">
        <w:rPr>
          <w:rFonts w:ascii="Verdana" w:hAnsi="Verdana"/>
          <w:lang w:val="de-DE"/>
        </w:rPr>
        <w:t xml:space="preserve"> 2023 wurde eine aktualisierte OS-Analyse (78% Datenreife) vorgestellt.</w:t>
      </w:r>
      <w:r w:rsidR="007C0ABC" w:rsidRPr="008E29D4">
        <w:rPr>
          <w:rFonts w:ascii="Verdana" w:hAnsi="Verdana"/>
          <w:vertAlign w:val="superscript"/>
          <w:lang w:val="de-DE"/>
        </w:rPr>
        <w:t>5</w:t>
      </w:r>
      <w:r w:rsidRPr="008E29D4">
        <w:rPr>
          <w:rFonts w:ascii="Verdana" w:hAnsi="Verdana"/>
          <w:lang w:val="de-DE"/>
        </w:rPr>
        <w:t xml:space="preserve"> </w:t>
      </w:r>
      <w:r w:rsidR="00A728AF" w:rsidRPr="008E29D4">
        <w:rPr>
          <w:rFonts w:ascii="Verdana" w:hAnsi="Verdana"/>
          <w:lang w:val="de-DE"/>
        </w:rPr>
        <w:t xml:space="preserve">Die Kombination </w:t>
      </w:r>
      <w:r w:rsidR="0023620F" w:rsidRPr="008E29D4">
        <w:rPr>
          <w:rFonts w:ascii="Verdana" w:hAnsi="Verdana"/>
          <w:lang w:val="de-DE"/>
        </w:rPr>
        <w:t xml:space="preserve">mit </w:t>
      </w:r>
      <w:r w:rsidR="00A728AF" w:rsidRPr="008E29D4">
        <w:rPr>
          <w:rStyle w:val="normaltextrun"/>
          <w:rFonts w:ascii="Verdana" w:hAnsi="Verdana" w:cs="Segoe UI"/>
          <w:shd w:val="clear" w:color="auto" w:fill="FFFFFF"/>
          <w:lang w:val="de-DE"/>
        </w:rPr>
        <w:t>Tremelimumab/Durvalumab</w:t>
      </w:r>
      <w:r w:rsidR="00A728AF" w:rsidRPr="008E29D4">
        <w:rPr>
          <w:rFonts w:ascii="Verdana" w:hAnsi="Verdana"/>
          <w:lang w:val="de-DE"/>
        </w:rPr>
        <w:t xml:space="preserve"> </w:t>
      </w:r>
      <w:r w:rsidRPr="008E29D4">
        <w:rPr>
          <w:rFonts w:ascii="Verdana" w:hAnsi="Verdana"/>
          <w:lang w:val="de-DE"/>
        </w:rPr>
        <w:t>wies eine beispiellose Überlebensrate nach 4 Jahren auf und bestätigte das langfristige OS-Plateau (Abbildung 1).</w:t>
      </w:r>
      <w:r w:rsidR="007C0ABC" w:rsidRPr="008E29D4">
        <w:rPr>
          <w:rFonts w:ascii="Verdana" w:hAnsi="Verdana"/>
          <w:vertAlign w:val="superscript"/>
          <w:lang w:val="de-DE"/>
        </w:rPr>
        <w:t>5</w:t>
      </w:r>
      <w:r w:rsidRPr="008E29D4">
        <w:rPr>
          <w:rFonts w:ascii="Verdana" w:hAnsi="Verdana"/>
          <w:lang w:val="de-DE"/>
        </w:rPr>
        <w:t xml:space="preserve"> </w:t>
      </w:r>
    </w:p>
    <w:p w14:paraId="2E2E2833" w14:textId="0EB18A15" w:rsidR="005A3446" w:rsidRPr="008E29D4" w:rsidRDefault="005A3446" w:rsidP="005A3446">
      <w:pPr>
        <w:pStyle w:val="ListParagraph"/>
        <w:numPr>
          <w:ilvl w:val="0"/>
          <w:numId w:val="6"/>
        </w:numPr>
        <w:jc w:val="both"/>
        <w:rPr>
          <w:rFonts w:ascii="Verdana" w:hAnsi="Verdana"/>
          <w:lang w:val="de-DE"/>
        </w:rPr>
      </w:pPr>
      <w:r w:rsidRPr="008E29D4">
        <w:rPr>
          <w:rFonts w:ascii="Verdana" w:hAnsi="Verdana"/>
          <w:lang w:val="de-DE"/>
        </w:rPr>
        <w:t xml:space="preserve">Die Hazard Ratio des OS im Vergleich zu </w:t>
      </w:r>
      <w:proofErr w:type="spellStart"/>
      <w:r w:rsidRPr="008E29D4">
        <w:rPr>
          <w:rFonts w:ascii="Verdana" w:hAnsi="Verdana"/>
          <w:lang w:val="de-DE"/>
        </w:rPr>
        <w:t>Sorafenib</w:t>
      </w:r>
      <w:proofErr w:type="spellEnd"/>
      <w:r w:rsidRPr="008E29D4">
        <w:rPr>
          <w:rFonts w:ascii="Verdana" w:hAnsi="Verdana"/>
          <w:lang w:val="de-DE"/>
        </w:rPr>
        <w:t xml:space="preserve"> [0,78 (95%-KI: 0,67-0,92; p = 0,0037)] und die geschätzte 36-monatige OS-Rate (30,7%) für </w:t>
      </w:r>
      <w:r w:rsidR="003A7D90" w:rsidRPr="008E29D4">
        <w:rPr>
          <w:rStyle w:val="normaltextrun"/>
          <w:rFonts w:ascii="Verdana" w:hAnsi="Verdana" w:cs="Segoe UI"/>
          <w:shd w:val="clear" w:color="auto" w:fill="FFFFFF"/>
          <w:lang w:val="de-DE"/>
        </w:rPr>
        <w:t>Tremelimumab/Durvalumab</w:t>
      </w:r>
      <w:r w:rsidRPr="008E29D4">
        <w:rPr>
          <w:rFonts w:ascii="Verdana" w:hAnsi="Verdana"/>
          <w:lang w:val="de-DE"/>
        </w:rPr>
        <w:t xml:space="preserve"> stimmten mit der primären Analyse überein.</w:t>
      </w:r>
      <w:r w:rsidR="007C0ABC" w:rsidRPr="008E29D4">
        <w:rPr>
          <w:rFonts w:ascii="Verdana" w:hAnsi="Verdana"/>
          <w:vertAlign w:val="superscript"/>
          <w:lang w:val="de-DE"/>
        </w:rPr>
        <w:t>5</w:t>
      </w:r>
    </w:p>
    <w:p w14:paraId="3BC8E83F" w14:textId="5DD41B05" w:rsidR="005A3446" w:rsidRPr="008D2650" w:rsidRDefault="005A3446" w:rsidP="005A3446">
      <w:pPr>
        <w:pStyle w:val="ListParagraph"/>
        <w:numPr>
          <w:ilvl w:val="0"/>
          <w:numId w:val="6"/>
        </w:numPr>
        <w:jc w:val="both"/>
        <w:rPr>
          <w:rFonts w:ascii="Verdana" w:hAnsi="Verdana"/>
          <w:lang w:val="de-DE"/>
        </w:rPr>
      </w:pPr>
      <w:r w:rsidRPr="008E29D4">
        <w:rPr>
          <w:rFonts w:ascii="Verdana" w:hAnsi="Verdana"/>
          <w:lang w:val="de-DE"/>
        </w:rPr>
        <w:t xml:space="preserve">Die 4-Jahres-Überlebensraten betrugen 25,2% im </w:t>
      </w:r>
      <w:r w:rsidR="00A728AF" w:rsidRPr="008E29D4">
        <w:rPr>
          <w:rStyle w:val="normaltextrun"/>
          <w:rFonts w:ascii="Verdana" w:hAnsi="Verdana" w:cs="Segoe UI"/>
          <w:shd w:val="clear" w:color="auto" w:fill="FFFFFF"/>
          <w:lang w:val="de-DE"/>
        </w:rPr>
        <w:t>Tremelimumab/Durvalumab</w:t>
      </w:r>
      <w:r w:rsidR="00A728AF" w:rsidRPr="008E29D4" w:rsidDel="00A728AF">
        <w:rPr>
          <w:rFonts w:ascii="Verdana" w:hAnsi="Verdana"/>
          <w:lang w:val="de-DE"/>
        </w:rPr>
        <w:t xml:space="preserve"> </w:t>
      </w:r>
      <w:r w:rsidRPr="008E29D4">
        <w:rPr>
          <w:rFonts w:ascii="Verdana" w:hAnsi="Verdana"/>
          <w:lang w:val="de-DE"/>
        </w:rPr>
        <w:t xml:space="preserve">-Arm und 15,1% im </w:t>
      </w:r>
      <w:proofErr w:type="spellStart"/>
      <w:r w:rsidRPr="008E29D4">
        <w:rPr>
          <w:rFonts w:ascii="Verdana" w:hAnsi="Verdana"/>
          <w:lang w:val="de-DE"/>
        </w:rPr>
        <w:t>Sorafenib</w:t>
      </w:r>
      <w:proofErr w:type="spellEnd"/>
      <w:r w:rsidRPr="008E29D4">
        <w:rPr>
          <w:rFonts w:ascii="Verdana" w:hAnsi="Verdana"/>
          <w:lang w:val="de-DE"/>
        </w:rPr>
        <w:t xml:space="preserve">-Arm. 1 von 4 Patienten im </w:t>
      </w:r>
      <w:r w:rsidR="00A728AF" w:rsidRPr="008E29D4">
        <w:rPr>
          <w:rStyle w:val="normaltextrun"/>
          <w:rFonts w:ascii="Verdana" w:hAnsi="Verdana" w:cs="Segoe UI"/>
          <w:shd w:val="clear" w:color="auto" w:fill="FFFFFF"/>
          <w:lang w:val="de-DE"/>
        </w:rPr>
        <w:t>Tremelimumab/Durvalumab</w:t>
      </w:r>
      <w:r w:rsidR="00A728AF" w:rsidRPr="008E29D4" w:rsidDel="00A728AF">
        <w:rPr>
          <w:rFonts w:ascii="Verdana" w:hAnsi="Verdana"/>
          <w:lang w:val="de-DE"/>
        </w:rPr>
        <w:t xml:space="preserve"> </w:t>
      </w:r>
      <w:r w:rsidRPr="008D2650">
        <w:rPr>
          <w:rFonts w:ascii="Verdana" w:hAnsi="Verdana"/>
          <w:lang w:val="de-DE"/>
        </w:rPr>
        <w:t>-Arm war nach 48 Monaten noch am Leben.</w:t>
      </w:r>
      <w:r w:rsidR="007C0ABC">
        <w:rPr>
          <w:rFonts w:ascii="Verdana" w:hAnsi="Verdana"/>
          <w:vertAlign w:val="superscript"/>
          <w:lang w:val="de-DE"/>
        </w:rPr>
        <w:t>5</w:t>
      </w:r>
    </w:p>
    <w:p w14:paraId="07B7D9EE" w14:textId="77777777" w:rsidR="005A3446" w:rsidRPr="00F3087B" w:rsidRDefault="005A3446" w:rsidP="005A3446">
      <w:pPr>
        <w:jc w:val="center"/>
        <w:rPr>
          <w:color w:val="FF0000"/>
          <w:lang w:val="en-US"/>
        </w:rPr>
      </w:pPr>
      <w:r>
        <w:rPr>
          <w:noProof/>
          <w:color w:val="FF0000"/>
          <w:lang w:val="en-US"/>
        </w:rPr>
        <w:lastRenderedPageBreak/>
        <w:drawing>
          <wp:inline distT="0" distB="0" distL="0" distR="0" wp14:anchorId="63294599" wp14:editId="415FE48F">
            <wp:extent cx="4531259" cy="1995380"/>
            <wp:effectExtent l="0" t="0" r="317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7312" cy="1998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30211B" w14:textId="61FF4319" w:rsidR="005A3446" w:rsidRPr="00042E47" w:rsidRDefault="005A3446" w:rsidP="005A3446">
      <w:pPr>
        <w:jc w:val="center"/>
        <w:rPr>
          <w:rFonts w:ascii="Verdana" w:hAnsi="Verdana"/>
          <w:sz w:val="16"/>
          <w:szCs w:val="16"/>
          <w:vertAlign w:val="superscript"/>
          <w:lang w:val="de-DE"/>
        </w:rPr>
      </w:pPr>
      <w:r w:rsidRPr="00042E47">
        <w:rPr>
          <w:rFonts w:ascii="Verdana" w:hAnsi="Verdana"/>
          <w:sz w:val="16"/>
          <w:szCs w:val="16"/>
          <w:lang w:val="de-DE"/>
        </w:rPr>
        <w:t>Abbildung 1: Kaplan Meier Kurve des Gesamtüberlebens</w:t>
      </w:r>
      <w:r w:rsidR="007C0ABC">
        <w:rPr>
          <w:rFonts w:ascii="Verdana" w:hAnsi="Verdana"/>
          <w:sz w:val="16"/>
          <w:szCs w:val="16"/>
          <w:vertAlign w:val="superscript"/>
          <w:lang w:val="de-DE"/>
        </w:rPr>
        <w:t>5</w:t>
      </w:r>
    </w:p>
    <w:p w14:paraId="5872D1A3" w14:textId="77777777" w:rsidR="005A3446" w:rsidRPr="00D55E0C" w:rsidRDefault="005A3446" w:rsidP="005A3446">
      <w:pPr>
        <w:jc w:val="center"/>
        <w:rPr>
          <w:rFonts w:ascii="Verdana" w:hAnsi="Verdana"/>
          <w:sz w:val="14"/>
          <w:szCs w:val="14"/>
          <w:lang w:val="de-DE"/>
        </w:rPr>
      </w:pPr>
      <w:proofErr w:type="spellStart"/>
      <w:r w:rsidRPr="00D55E0C">
        <w:rPr>
          <w:rFonts w:ascii="Verdana" w:hAnsi="Verdana"/>
          <w:sz w:val="14"/>
          <w:szCs w:val="14"/>
          <w:vertAlign w:val="superscript"/>
          <w:lang w:val="de-DE"/>
        </w:rPr>
        <w:t>a</w:t>
      </w:r>
      <w:r w:rsidRPr="00D55E0C">
        <w:rPr>
          <w:rFonts w:ascii="Verdana" w:hAnsi="Verdana"/>
          <w:sz w:val="14"/>
          <w:szCs w:val="14"/>
          <w:lang w:val="de-DE"/>
        </w:rPr>
        <w:t>Tremelimumab</w:t>
      </w:r>
      <w:proofErr w:type="spellEnd"/>
      <w:r w:rsidRPr="00D55E0C">
        <w:rPr>
          <w:rFonts w:ascii="Verdana" w:hAnsi="Verdana"/>
          <w:sz w:val="14"/>
          <w:szCs w:val="14"/>
          <w:lang w:val="de-DE"/>
        </w:rPr>
        <w:t xml:space="preserve"> 300 mg + </w:t>
      </w:r>
      <w:r>
        <w:rPr>
          <w:rFonts w:ascii="Verdana" w:hAnsi="Verdana"/>
          <w:sz w:val="14"/>
          <w:szCs w:val="14"/>
          <w:lang w:val="de-DE"/>
        </w:rPr>
        <w:t>D</w:t>
      </w:r>
      <w:r w:rsidRPr="00D55E0C">
        <w:rPr>
          <w:rFonts w:ascii="Verdana" w:hAnsi="Verdana"/>
          <w:sz w:val="14"/>
          <w:szCs w:val="14"/>
          <w:lang w:val="de-DE"/>
        </w:rPr>
        <w:t xml:space="preserve">urvalumab 1500 mg (1 Dosis) + </w:t>
      </w:r>
      <w:r>
        <w:rPr>
          <w:rFonts w:ascii="Verdana" w:hAnsi="Verdana"/>
          <w:sz w:val="14"/>
          <w:szCs w:val="14"/>
          <w:lang w:val="de-DE"/>
        </w:rPr>
        <w:t>D</w:t>
      </w:r>
      <w:r w:rsidRPr="00D55E0C">
        <w:rPr>
          <w:rFonts w:ascii="Verdana" w:hAnsi="Verdana"/>
          <w:sz w:val="14"/>
          <w:szCs w:val="14"/>
          <w:lang w:val="de-DE"/>
        </w:rPr>
        <w:t xml:space="preserve">urvalumab 1500 mg alle vier Wochen; </w:t>
      </w:r>
      <w:proofErr w:type="spellStart"/>
      <w:r w:rsidRPr="00D55E0C">
        <w:rPr>
          <w:rFonts w:ascii="Verdana" w:hAnsi="Verdana"/>
          <w:sz w:val="14"/>
          <w:szCs w:val="14"/>
          <w:lang w:val="de-DE"/>
        </w:rPr>
        <w:t>mo</w:t>
      </w:r>
      <w:proofErr w:type="spellEnd"/>
      <w:r w:rsidRPr="00D55E0C">
        <w:rPr>
          <w:rFonts w:ascii="Verdana" w:hAnsi="Verdana"/>
          <w:sz w:val="14"/>
          <w:szCs w:val="14"/>
          <w:lang w:val="de-DE"/>
        </w:rPr>
        <w:t>: Mo</w:t>
      </w:r>
      <w:r>
        <w:rPr>
          <w:rFonts w:ascii="Verdana" w:hAnsi="Verdana"/>
          <w:sz w:val="14"/>
          <w:szCs w:val="14"/>
          <w:lang w:val="de-DE"/>
        </w:rPr>
        <w:t>nate</w:t>
      </w:r>
      <w:r w:rsidRPr="00D55E0C">
        <w:rPr>
          <w:rFonts w:ascii="Verdana" w:hAnsi="Verdana"/>
          <w:sz w:val="14"/>
          <w:szCs w:val="14"/>
          <w:lang w:val="de-DE"/>
        </w:rPr>
        <w:t xml:space="preserve">; OS: </w:t>
      </w:r>
      <w:r>
        <w:rPr>
          <w:rFonts w:ascii="Verdana" w:hAnsi="Verdana"/>
          <w:sz w:val="14"/>
          <w:szCs w:val="14"/>
          <w:lang w:val="de-DE"/>
        </w:rPr>
        <w:t>Gesamtüberleben</w:t>
      </w:r>
    </w:p>
    <w:p w14:paraId="1264151C" w14:textId="77777777" w:rsidR="007A0E02" w:rsidRDefault="007A0E02" w:rsidP="007A0E02">
      <w:pPr>
        <w:jc w:val="both"/>
        <w:rPr>
          <w:rFonts w:ascii="Verdana" w:hAnsi="Verdana"/>
          <w:b/>
          <w:bCs/>
          <w:color w:val="4472C4" w:themeColor="accent1"/>
          <w:sz w:val="20"/>
          <w:szCs w:val="20"/>
          <w:lang w:val="de-DE"/>
        </w:rPr>
      </w:pPr>
    </w:p>
    <w:p w14:paraId="0C09A766" w14:textId="5AC9EDC6" w:rsidR="005A3446" w:rsidRPr="007A0E02" w:rsidRDefault="007A0E02" w:rsidP="007A0E02">
      <w:pPr>
        <w:jc w:val="both"/>
        <w:rPr>
          <w:rFonts w:ascii="Verdana" w:hAnsi="Verdana"/>
          <w:b/>
          <w:bCs/>
          <w:color w:val="4472C4" w:themeColor="accent1"/>
          <w:sz w:val="20"/>
          <w:szCs w:val="20"/>
          <w:lang w:val="de-DE"/>
        </w:rPr>
      </w:pPr>
      <w:r w:rsidRPr="00BE6EE6">
        <w:rPr>
          <w:rFonts w:ascii="Verdana" w:hAnsi="Verdana"/>
          <w:b/>
          <w:bCs/>
          <w:color w:val="4472C4" w:themeColor="accent1"/>
          <w:sz w:val="20"/>
          <w:szCs w:val="20"/>
          <w:lang w:val="de-DE"/>
        </w:rPr>
        <w:t>DIE HIMALAYA STUDIE</w:t>
      </w:r>
      <w:r>
        <w:rPr>
          <w:rFonts w:ascii="Verdana" w:hAnsi="Verdana"/>
          <w:b/>
          <w:bCs/>
          <w:color w:val="4472C4" w:themeColor="accent1"/>
          <w:sz w:val="20"/>
          <w:szCs w:val="20"/>
          <w:lang w:val="de-DE"/>
        </w:rPr>
        <w:t xml:space="preserve"> – SICHERHEIT</w:t>
      </w:r>
      <w:r w:rsidR="00903221">
        <w:rPr>
          <w:rFonts w:ascii="Verdana" w:hAnsi="Verdana"/>
          <w:b/>
          <w:bCs/>
          <w:color w:val="4472C4" w:themeColor="accent1"/>
          <w:sz w:val="20"/>
          <w:szCs w:val="20"/>
          <w:lang w:val="de-DE"/>
        </w:rPr>
        <w:t>S</w:t>
      </w:r>
      <w:r>
        <w:rPr>
          <w:rFonts w:ascii="Verdana" w:hAnsi="Verdana"/>
          <w:b/>
          <w:bCs/>
          <w:color w:val="4472C4" w:themeColor="accent1"/>
          <w:sz w:val="20"/>
          <w:szCs w:val="20"/>
          <w:lang w:val="de-DE"/>
        </w:rPr>
        <w:t>DATEN</w:t>
      </w:r>
    </w:p>
    <w:p w14:paraId="6967A97A" w14:textId="3CB89DD3" w:rsidR="005A3446" w:rsidRPr="007A299A" w:rsidRDefault="005A3446" w:rsidP="005A3446">
      <w:pPr>
        <w:jc w:val="both"/>
        <w:rPr>
          <w:rFonts w:ascii="Verdana" w:hAnsi="Verdana"/>
          <w:lang w:val="de-DE"/>
        </w:rPr>
      </w:pPr>
      <w:r w:rsidRPr="00AD7D9C">
        <w:rPr>
          <w:rFonts w:ascii="Verdana" w:hAnsi="Verdana"/>
          <w:lang w:val="de-DE"/>
        </w:rPr>
        <w:t xml:space="preserve">Das Sicherheits- und Verträglichkeitsprofil der Kombination stimmte mit den bekannten Profilen von </w:t>
      </w:r>
      <w:proofErr w:type="spellStart"/>
      <w:r w:rsidRPr="00AD7D9C">
        <w:rPr>
          <w:rFonts w:ascii="Verdana" w:hAnsi="Verdana"/>
          <w:lang w:val="de-DE"/>
        </w:rPr>
        <w:t>Imfinzi</w:t>
      </w:r>
      <w:proofErr w:type="spellEnd"/>
      <w:r w:rsidRPr="00AD7D9C">
        <w:rPr>
          <w:rFonts w:ascii="Verdana" w:hAnsi="Verdana"/>
          <w:lang w:val="de-DE"/>
        </w:rPr>
        <w:t xml:space="preserve"> und </w:t>
      </w:r>
      <w:proofErr w:type="spellStart"/>
      <w:r w:rsidRPr="00AD7D9C">
        <w:rPr>
          <w:rFonts w:ascii="Verdana" w:hAnsi="Verdana"/>
          <w:lang w:val="de-DE"/>
        </w:rPr>
        <w:t>Imjudo</w:t>
      </w:r>
      <w:proofErr w:type="spellEnd"/>
      <w:r w:rsidRPr="00AD7D9C">
        <w:rPr>
          <w:rFonts w:ascii="Verdana" w:hAnsi="Verdana"/>
          <w:lang w:val="de-DE"/>
        </w:rPr>
        <w:t xml:space="preserve"> überein und es wurden keine neuen Sicherheitssignale beobachtet</w:t>
      </w:r>
      <w:r w:rsidRPr="007A299A">
        <w:rPr>
          <w:rFonts w:ascii="Verdana" w:hAnsi="Verdana"/>
          <w:lang w:val="de-DE"/>
        </w:rPr>
        <w:t>.</w:t>
      </w:r>
      <w:r w:rsidR="000E712B">
        <w:rPr>
          <w:rFonts w:ascii="Verdana" w:hAnsi="Verdana"/>
          <w:vertAlign w:val="superscript"/>
          <w:lang w:val="de-DE"/>
        </w:rPr>
        <w:t>7</w:t>
      </w:r>
      <w:r w:rsidRPr="007A299A">
        <w:rPr>
          <w:rFonts w:ascii="Verdana" w:hAnsi="Verdana"/>
          <w:lang w:val="de-DE"/>
        </w:rPr>
        <w:t xml:space="preserve"> </w:t>
      </w:r>
    </w:p>
    <w:p w14:paraId="48DD9AB7" w14:textId="2D1D7B50" w:rsidR="005A3446" w:rsidRPr="008E29D4" w:rsidRDefault="005A3446" w:rsidP="005A3446">
      <w:pPr>
        <w:jc w:val="both"/>
        <w:rPr>
          <w:rFonts w:ascii="Verdana" w:hAnsi="Verdana"/>
          <w:vertAlign w:val="superscript"/>
          <w:lang w:val="de-DE"/>
        </w:rPr>
      </w:pPr>
      <w:r w:rsidRPr="003D48AE">
        <w:rPr>
          <w:rFonts w:ascii="Verdana" w:hAnsi="Verdana"/>
          <w:lang w:val="de-DE"/>
        </w:rPr>
        <w:t>Die Inzidenz der behandlungsbedingten unerwünschten Ereignisse (</w:t>
      </w:r>
      <w:r w:rsidRPr="004F7770">
        <w:rPr>
          <w:rFonts w:ascii="Verdana" w:hAnsi="Verdana"/>
          <w:lang w:val="de-DE"/>
        </w:rPr>
        <w:t xml:space="preserve">Treatment </w:t>
      </w:r>
      <w:proofErr w:type="spellStart"/>
      <w:r w:rsidRPr="004F7770">
        <w:rPr>
          <w:rFonts w:ascii="Verdana" w:hAnsi="Verdana"/>
          <w:lang w:val="de-DE"/>
        </w:rPr>
        <w:t>Related</w:t>
      </w:r>
      <w:proofErr w:type="spellEnd"/>
      <w:r w:rsidRPr="004F7770">
        <w:rPr>
          <w:rFonts w:ascii="Verdana" w:hAnsi="Verdana"/>
          <w:lang w:val="de-DE"/>
        </w:rPr>
        <w:t xml:space="preserve"> Adverse Events, </w:t>
      </w:r>
      <w:r w:rsidRPr="003D48AE">
        <w:rPr>
          <w:rFonts w:ascii="Verdana" w:hAnsi="Verdana"/>
          <w:lang w:val="de-DE"/>
        </w:rPr>
        <w:t xml:space="preserve">TRAE) des Grads 3/4 betrug </w:t>
      </w:r>
      <w:r>
        <w:rPr>
          <w:rFonts w:ascii="Verdana" w:hAnsi="Verdana"/>
          <w:lang w:val="de-DE"/>
        </w:rPr>
        <w:t>25,8</w:t>
      </w:r>
      <w:r w:rsidRPr="003D48AE">
        <w:rPr>
          <w:rFonts w:ascii="Verdana" w:hAnsi="Verdana"/>
          <w:lang w:val="de-DE"/>
        </w:rPr>
        <w:t xml:space="preserve">% für die </w:t>
      </w:r>
      <w:r w:rsidR="00A728AF" w:rsidRPr="008E29D4">
        <w:rPr>
          <w:rStyle w:val="normaltextrun"/>
          <w:rFonts w:ascii="Verdana" w:hAnsi="Verdana" w:cs="Segoe UI"/>
          <w:shd w:val="clear" w:color="auto" w:fill="FFFFFF"/>
          <w:lang w:val="de-DE"/>
        </w:rPr>
        <w:t>Tremelimumab/Durvalumab</w:t>
      </w:r>
      <w:r w:rsidR="00A728AF" w:rsidRPr="008E29D4" w:rsidDel="00A728AF">
        <w:rPr>
          <w:rFonts w:ascii="Verdana" w:hAnsi="Verdana"/>
          <w:lang w:val="de-DE"/>
        </w:rPr>
        <w:t xml:space="preserve"> </w:t>
      </w:r>
      <w:r w:rsidRPr="008E29D4">
        <w:rPr>
          <w:rFonts w:ascii="Verdana" w:hAnsi="Verdana"/>
          <w:lang w:val="de-DE"/>
        </w:rPr>
        <w:t>-Gruppe und 36,9% für den Sorafenib-Arm.</w:t>
      </w:r>
      <w:r w:rsidR="00A30E8E" w:rsidRPr="008E29D4">
        <w:rPr>
          <w:rFonts w:ascii="Verdana" w:hAnsi="Verdana"/>
          <w:vertAlign w:val="superscript"/>
          <w:lang w:val="de-DE"/>
        </w:rPr>
        <w:t>7</w:t>
      </w:r>
    </w:p>
    <w:p w14:paraId="62CE8247" w14:textId="5F108680" w:rsidR="00407252" w:rsidRPr="003F0EB8" w:rsidRDefault="00407252" w:rsidP="00407252">
      <w:pPr>
        <w:jc w:val="both"/>
        <w:rPr>
          <w:rFonts w:ascii="Verdana" w:hAnsi="Verdana"/>
          <w:lang w:val="de-DE"/>
        </w:rPr>
      </w:pPr>
      <w:r w:rsidRPr="008E29D4">
        <w:rPr>
          <w:rFonts w:ascii="Verdana" w:hAnsi="Verdana"/>
          <w:lang w:val="de-DE"/>
        </w:rPr>
        <w:t xml:space="preserve">Darüber hinaus verlängerte </w:t>
      </w:r>
      <w:r w:rsidR="00A728AF" w:rsidRPr="008E29D4">
        <w:rPr>
          <w:rFonts w:ascii="Verdana" w:hAnsi="Verdana"/>
          <w:lang w:val="de-DE"/>
        </w:rPr>
        <w:t xml:space="preserve">die Kombination mit </w:t>
      </w:r>
      <w:r w:rsidR="00A728AF" w:rsidRPr="008E29D4">
        <w:rPr>
          <w:rStyle w:val="normaltextrun"/>
          <w:rFonts w:ascii="Verdana" w:hAnsi="Verdana" w:cs="Segoe UI"/>
          <w:shd w:val="clear" w:color="auto" w:fill="FFFFFF"/>
          <w:lang w:val="de-DE"/>
        </w:rPr>
        <w:t>Tremelimumab/Durvalumab</w:t>
      </w:r>
      <w:r w:rsidR="00A728AF" w:rsidRPr="008E29D4">
        <w:rPr>
          <w:rFonts w:ascii="Verdana" w:hAnsi="Verdana"/>
          <w:lang w:val="de-DE"/>
        </w:rPr>
        <w:t xml:space="preserve"> </w:t>
      </w:r>
      <w:r w:rsidRPr="003F0EB8">
        <w:rPr>
          <w:rFonts w:ascii="Verdana" w:hAnsi="Verdana"/>
          <w:lang w:val="de-DE"/>
        </w:rPr>
        <w:t>die Zeit bis zur Verschlechterung</w:t>
      </w:r>
      <w:r w:rsidR="002B1DA5">
        <w:rPr>
          <w:rFonts w:ascii="Verdana" w:hAnsi="Verdana"/>
          <w:lang w:val="de-DE"/>
        </w:rPr>
        <w:t xml:space="preserve"> der Lebensqualität</w:t>
      </w:r>
      <w:r w:rsidRPr="003F0EB8">
        <w:rPr>
          <w:rFonts w:ascii="Verdana" w:hAnsi="Verdana"/>
          <w:lang w:val="de-DE"/>
        </w:rPr>
        <w:t xml:space="preserve"> (Time </w:t>
      </w:r>
      <w:proofErr w:type="spellStart"/>
      <w:r w:rsidRPr="003F0EB8">
        <w:rPr>
          <w:rFonts w:ascii="Verdana" w:hAnsi="Verdana"/>
          <w:lang w:val="de-DE"/>
        </w:rPr>
        <w:t>To</w:t>
      </w:r>
      <w:proofErr w:type="spellEnd"/>
      <w:r w:rsidRPr="003F0EB8">
        <w:rPr>
          <w:rFonts w:ascii="Verdana" w:hAnsi="Verdana"/>
          <w:lang w:val="de-DE"/>
        </w:rPr>
        <w:t xml:space="preserve"> Deterioration, TTD) im Vergleich zu </w:t>
      </w:r>
      <w:proofErr w:type="spellStart"/>
      <w:r w:rsidRPr="003F0EB8">
        <w:rPr>
          <w:rFonts w:ascii="Verdana" w:hAnsi="Verdana"/>
          <w:lang w:val="de-DE"/>
        </w:rPr>
        <w:t>Sorafenib</w:t>
      </w:r>
      <w:proofErr w:type="spellEnd"/>
      <w:r w:rsidR="00C11798" w:rsidRPr="00C11798">
        <w:rPr>
          <w:rFonts w:ascii="Verdana" w:hAnsi="Verdana"/>
          <w:lang w:val="de-DE"/>
        </w:rPr>
        <w:t xml:space="preserve"> </w:t>
      </w:r>
      <w:r w:rsidR="00C11798">
        <w:rPr>
          <w:rFonts w:ascii="Verdana" w:hAnsi="Verdana"/>
          <w:lang w:val="de-DE"/>
        </w:rPr>
        <w:t>[</w:t>
      </w:r>
      <w:r w:rsidR="00C11798" w:rsidRPr="00C11798">
        <w:rPr>
          <w:rFonts w:ascii="Verdana" w:hAnsi="Verdana"/>
          <w:lang w:val="de-DE"/>
        </w:rPr>
        <w:t>HR 0,76 (95%-KI: 0,61-0,96)</w:t>
      </w:r>
      <w:r w:rsidR="00C11798">
        <w:rPr>
          <w:rFonts w:ascii="Verdana" w:hAnsi="Verdana"/>
          <w:lang w:val="de-DE"/>
        </w:rPr>
        <w:t>]</w:t>
      </w:r>
      <w:r w:rsidRPr="003F0EB8">
        <w:rPr>
          <w:rFonts w:ascii="Verdana" w:hAnsi="Verdana"/>
          <w:lang w:val="de-DE"/>
        </w:rPr>
        <w:t>.</w:t>
      </w:r>
      <w:r w:rsidR="00C33743">
        <w:rPr>
          <w:rFonts w:ascii="Verdana" w:hAnsi="Verdana"/>
          <w:vertAlign w:val="superscript"/>
          <w:lang w:val="de-DE"/>
        </w:rPr>
        <w:t>6</w:t>
      </w:r>
    </w:p>
    <w:p w14:paraId="78853FCF" w14:textId="77777777" w:rsidR="005A3446" w:rsidRPr="007A299A" w:rsidRDefault="005A3446" w:rsidP="005A3446">
      <w:pPr>
        <w:jc w:val="both"/>
        <w:rPr>
          <w:rFonts w:ascii="Verdana" w:hAnsi="Verdana"/>
          <w:color w:val="FF0000"/>
          <w:sz w:val="20"/>
          <w:szCs w:val="20"/>
          <w:lang w:val="de-DE"/>
        </w:rPr>
      </w:pPr>
    </w:p>
    <w:p w14:paraId="7F64DC72" w14:textId="21AB9861" w:rsidR="00300D54" w:rsidRPr="00300D54" w:rsidRDefault="000D6DC8" w:rsidP="00300D54">
      <w:pPr>
        <w:jc w:val="both"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Bei</w:t>
      </w:r>
      <w:r w:rsidR="00300D54" w:rsidRPr="00300D54">
        <w:rPr>
          <w:rFonts w:ascii="Verdana" w:hAnsi="Verdana"/>
          <w:lang w:val="de-DE"/>
        </w:rPr>
        <w:t xml:space="preserve"> Fragen stehe ich Ihnen gerne zur Verfügung.</w:t>
      </w:r>
    </w:p>
    <w:p w14:paraId="0806A9B7" w14:textId="5766362A" w:rsidR="000D6DC8" w:rsidRDefault="00300D54" w:rsidP="00300D54">
      <w:pPr>
        <w:jc w:val="both"/>
        <w:rPr>
          <w:rFonts w:ascii="Verdana" w:hAnsi="Verdana"/>
          <w:lang w:val="de-DE"/>
        </w:rPr>
      </w:pPr>
      <w:r w:rsidRPr="00300D54">
        <w:rPr>
          <w:rFonts w:ascii="Verdana" w:hAnsi="Verdana"/>
          <w:lang w:val="de-DE"/>
        </w:rPr>
        <w:t xml:space="preserve">Herzlichen Dank und freundliche </w:t>
      </w:r>
      <w:proofErr w:type="spellStart"/>
      <w:r w:rsidRPr="00300D54">
        <w:rPr>
          <w:rFonts w:ascii="Verdana" w:hAnsi="Verdana"/>
          <w:lang w:val="de-DE"/>
        </w:rPr>
        <w:t>Grüsse</w:t>
      </w:r>
      <w:proofErr w:type="spellEnd"/>
    </w:p>
    <w:p w14:paraId="3A8FB17F" w14:textId="6AA3739B" w:rsidR="000D6DC8" w:rsidRPr="00300D54" w:rsidRDefault="000D6DC8" w:rsidP="00300D54">
      <w:pPr>
        <w:jc w:val="both"/>
        <w:rPr>
          <w:rFonts w:ascii="Verdana" w:hAnsi="Verdana"/>
          <w:lang w:val="de-DE"/>
        </w:rPr>
      </w:pPr>
      <w:r w:rsidRPr="000D6DC8">
        <w:rPr>
          <w:rFonts w:ascii="Verdana" w:hAnsi="Verdana"/>
          <w:highlight w:val="yellow"/>
          <w:lang w:val="de-DE"/>
        </w:rPr>
        <w:t>XXX</w:t>
      </w:r>
    </w:p>
    <w:p w14:paraId="0DE68F7A" w14:textId="77777777" w:rsidR="00300D54" w:rsidRPr="00300D54" w:rsidRDefault="00300D54" w:rsidP="00300D54">
      <w:pPr>
        <w:jc w:val="both"/>
        <w:rPr>
          <w:rFonts w:ascii="Verdana" w:hAnsi="Verdana"/>
          <w:lang w:val="de-DE"/>
        </w:rPr>
      </w:pPr>
    </w:p>
    <w:p w14:paraId="611AE115" w14:textId="77777777" w:rsidR="00300D54" w:rsidRPr="00300D54" w:rsidRDefault="00300D54" w:rsidP="00300D54">
      <w:pPr>
        <w:jc w:val="both"/>
        <w:rPr>
          <w:rFonts w:ascii="Verdana" w:hAnsi="Verdana"/>
          <w:lang w:val="de-DE"/>
        </w:rPr>
      </w:pPr>
      <w:r w:rsidRPr="00300D54">
        <w:rPr>
          <w:rFonts w:ascii="Verdana" w:hAnsi="Verdana"/>
          <w:lang w:val="de-DE"/>
        </w:rPr>
        <w:t>Appendix:</w:t>
      </w:r>
    </w:p>
    <w:p w14:paraId="52327938" w14:textId="5F39D172" w:rsidR="005A3446" w:rsidRPr="00300D54" w:rsidRDefault="00300D54" w:rsidP="00300D54">
      <w:pPr>
        <w:jc w:val="both"/>
        <w:rPr>
          <w:rFonts w:ascii="Verdana" w:hAnsi="Verdana"/>
          <w:lang w:val="de-DE"/>
        </w:rPr>
      </w:pPr>
      <w:r w:rsidRPr="000D6DC8">
        <w:rPr>
          <w:rFonts w:ascii="Verdana" w:hAnsi="Verdana"/>
          <w:highlight w:val="yellow"/>
          <w:lang w:val="de-DE"/>
        </w:rPr>
        <w:t>Anamnese Patient/Patientin</w:t>
      </w:r>
    </w:p>
    <w:p w14:paraId="1E4DA417" w14:textId="77777777" w:rsidR="005A3446" w:rsidRPr="00F3087B" w:rsidRDefault="005A3446" w:rsidP="005A3446">
      <w:pPr>
        <w:rPr>
          <w:rFonts w:ascii="Verdana" w:hAnsi="Verdana"/>
          <w:color w:val="FF0000"/>
          <w:lang w:val="de-DE"/>
        </w:rPr>
      </w:pPr>
    </w:p>
    <w:p w14:paraId="239CBE1B" w14:textId="77777777" w:rsidR="005A3446" w:rsidRPr="00A4144F" w:rsidRDefault="005A3446" w:rsidP="005A3446">
      <w:pPr>
        <w:pStyle w:val="ListParagraph"/>
        <w:ind w:left="0"/>
        <w:jc w:val="both"/>
        <w:rPr>
          <w:rFonts w:ascii="Verdana" w:hAnsi="Verdana"/>
          <w:sz w:val="16"/>
          <w:szCs w:val="16"/>
          <w:lang w:val="de-DE"/>
        </w:rPr>
      </w:pPr>
      <w:r w:rsidRPr="00A4144F">
        <w:rPr>
          <w:rFonts w:ascii="Verdana" w:hAnsi="Verdana"/>
          <w:sz w:val="16"/>
          <w:szCs w:val="16"/>
          <w:lang w:val="de-DE"/>
        </w:rPr>
        <w:t>Referenzen:</w:t>
      </w:r>
    </w:p>
    <w:p w14:paraId="79FD0E16" w14:textId="77777777" w:rsidR="00994DDC" w:rsidRPr="00F16B28" w:rsidRDefault="00994DDC" w:rsidP="00994DDC">
      <w:pPr>
        <w:pStyle w:val="ListParagraph"/>
        <w:numPr>
          <w:ilvl w:val="0"/>
          <w:numId w:val="2"/>
        </w:numPr>
        <w:ind w:left="284" w:hanging="284"/>
        <w:jc w:val="both"/>
        <w:rPr>
          <w:rFonts w:ascii="Verdana" w:hAnsi="Verdana"/>
          <w:sz w:val="16"/>
          <w:szCs w:val="16"/>
        </w:rPr>
      </w:pPr>
      <w:proofErr w:type="spellStart"/>
      <w:r w:rsidRPr="00F16B28">
        <w:rPr>
          <w:rFonts w:ascii="Verdana" w:hAnsi="Verdana"/>
          <w:sz w:val="16"/>
          <w:szCs w:val="16"/>
        </w:rPr>
        <w:t>Imjudo</w:t>
      </w:r>
      <w:proofErr w:type="spellEnd"/>
      <w:r w:rsidRPr="00085461">
        <w:rPr>
          <w:rFonts w:ascii="Verdana" w:hAnsi="Verdana"/>
          <w:sz w:val="16"/>
          <w:szCs w:val="16"/>
          <w:vertAlign w:val="superscript"/>
        </w:rPr>
        <w:t>®</w:t>
      </w:r>
      <w:r w:rsidRPr="00F16B28">
        <w:rPr>
          <w:rFonts w:ascii="Verdana" w:hAnsi="Verdana"/>
          <w:sz w:val="16"/>
          <w:szCs w:val="16"/>
        </w:rPr>
        <w:t xml:space="preserve"> [Information for Healthcare Professionals]</w:t>
      </w:r>
      <w:r w:rsidRPr="00F16B28">
        <w:t xml:space="preserve"> </w:t>
      </w:r>
      <w:hyperlink r:id="rId13" w:history="1">
        <w:r w:rsidRPr="00F16B28">
          <w:rPr>
            <w:rStyle w:val="Hyperlink"/>
            <w:rFonts w:ascii="Verdana" w:hAnsi="Verdana"/>
            <w:color w:val="auto"/>
            <w:sz w:val="16"/>
            <w:szCs w:val="16"/>
          </w:rPr>
          <w:t>https://www.swissmedicinfo.ch</w:t>
        </w:r>
      </w:hyperlink>
    </w:p>
    <w:p w14:paraId="7C126D3E" w14:textId="4D90F71D" w:rsidR="00994DDC" w:rsidRPr="00B415D6" w:rsidRDefault="003423C9" w:rsidP="00994DDC">
      <w:pPr>
        <w:pStyle w:val="ListParagraph"/>
        <w:numPr>
          <w:ilvl w:val="0"/>
          <w:numId w:val="2"/>
        </w:numPr>
        <w:ind w:left="284" w:hanging="284"/>
        <w:jc w:val="both"/>
        <w:rPr>
          <w:rFonts w:ascii="Verdana" w:hAnsi="Verdana"/>
          <w:sz w:val="16"/>
          <w:szCs w:val="16"/>
        </w:rPr>
      </w:pPr>
      <w:hyperlink r:id="rId14" w:history="1">
        <w:r w:rsidR="00994DDC" w:rsidRPr="00B415D6">
          <w:rPr>
            <w:rStyle w:val="Hyperlink"/>
            <w:rFonts w:ascii="Verdana" w:hAnsi="Verdana"/>
            <w:color w:val="auto"/>
            <w:sz w:val="16"/>
            <w:szCs w:val="16"/>
          </w:rPr>
          <w:t>https://www.esmo.org/guidelines/esmo-mcbs/esmo-mcbs-for-solid-tumours/esmo-mcbs-scorecards/scorecard-358-1</w:t>
        </w:r>
      </w:hyperlink>
      <w:r w:rsidR="00994DDC" w:rsidRPr="00B415D6">
        <w:rPr>
          <w:rFonts w:ascii="Verdana" w:hAnsi="Verdana"/>
          <w:sz w:val="16"/>
          <w:szCs w:val="16"/>
        </w:rPr>
        <w:t xml:space="preserve"> accessed in July 202</w:t>
      </w:r>
      <w:r w:rsidR="00482C34">
        <w:rPr>
          <w:rFonts w:ascii="Verdana" w:hAnsi="Verdana"/>
          <w:sz w:val="16"/>
          <w:szCs w:val="16"/>
        </w:rPr>
        <w:t>4</w:t>
      </w:r>
    </w:p>
    <w:p w14:paraId="69F5E6DF" w14:textId="4EE92801" w:rsidR="00994DDC" w:rsidRDefault="00994DDC" w:rsidP="00994DDC">
      <w:pPr>
        <w:pStyle w:val="ListParagraph"/>
        <w:numPr>
          <w:ilvl w:val="0"/>
          <w:numId w:val="2"/>
        </w:numPr>
        <w:ind w:left="284" w:hanging="284"/>
        <w:jc w:val="both"/>
        <w:rPr>
          <w:rFonts w:ascii="Verdana" w:hAnsi="Verdana"/>
          <w:sz w:val="16"/>
          <w:szCs w:val="16"/>
        </w:rPr>
      </w:pPr>
      <w:r w:rsidRPr="00B415D6">
        <w:rPr>
          <w:rFonts w:ascii="Verdana" w:hAnsi="Verdana"/>
          <w:sz w:val="16"/>
          <w:szCs w:val="16"/>
        </w:rPr>
        <w:t xml:space="preserve">NCCN Guidelines </w:t>
      </w:r>
      <w:r w:rsidRPr="00884BA8">
        <w:rPr>
          <w:rFonts w:ascii="Verdana" w:hAnsi="Verdana"/>
          <w:sz w:val="16"/>
          <w:szCs w:val="16"/>
        </w:rPr>
        <w:t xml:space="preserve">Hepatocellular Carcinoma Version </w:t>
      </w:r>
      <w:r w:rsidR="00BA0F1C">
        <w:rPr>
          <w:rFonts w:ascii="Verdana" w:hAnsi="Verdana"/>
          <w:sz w:val="16"/>
          <w:szCs w:val="16"/>
        </w:rPr>
        <w:t>2</w:t>
      </w:r>
      <w:r w:rsidRPr="00884BA8">
        <w:rPr>
          <w:rFonts w:ascii="Verdana" w:hAnsi="Verdana"/>
          <w:sz w:val="16"/>
          <w:szCs w:val="16"/>
        </w:rPr>
        <w:t xml:space="preserve">.2023 www.NCCN.org. Accessed </w:t>
      </w:r>
      <w:r w:rsidR="00482C34">
        <w:rPr>
          <w:rFonts w:ascii="Verdana" w:hAnsi="Verdana"/>
          <w:sz w:val="16"/>
          <w:szCs w:val="16"/>
        </w:rPr>
        <w:t>June 2024</w:t>
      </w:r>
      <w:r w:rsidRPr="00884BA8">
        <w:rPr>
          <w:rFonts w:ascii="Verdana" w:hAnsi="Verdana"/>
          <w:sz w:val="16"/>
          <w:szCs w:val="16"/>
        </w:rPr>
        <w:t>.</w:t>
      </w:r>
    </w:p>
    <w:p w14:paraId="19A6E2E3" w14:textId="77777777" w:rsidR="00994DDC" w:rsidRDefault="00994DDC" w:rsidP="00994DDC">
      <w:pPr>
        <w:pStyle w:val="ListParagraph"/>
        <w:numPr>
          <w:ilvl w:val="0"/>
          <w:numId w:val="2"/>
        </w:numPr>
        <w:ind w:left="284" w:hanging="284"/>
        <w:jc w:val="both"/>
        <w:rPr>
          <w:rFonts w:ascii="Verdana" w:hAnsi="Verdana"/>
          <w:sz w:val="16"/>
          <w:szCs w:val="16"/>
        </w:rPr>
      </w:pPr>
      <w:proofErr w:type="spellStart"/>
      <w:r w:rsidRPr="00333DC5">
        <w:rPr>
          <w:rFonts w:ascii="Verdana" w:hAnsi="Verdana"/>
          <w:sz w:val="16"/>
          <w:szCs w:val="16"/>
        </w:rPr>
        <w:t>Reig</w:t>
      </w:r>
      <w:proofErr w:type="spellEnd"/>
      <w:r w:rsidRPr="00333DC5">
        <w:rPr>
          <w:rFonts w:ascii="Verdana" w:hAnsi="Verdana"/>
          <w:sz w:val="16"/>
          <w:szCs w:val="16"/>
        </w:rPr>
        <w:t xml:space="preserve"> M. et al. BCLC strategy for prognosis prediction and treatment recommendation: The 2022 update. Journal of Hepatology 2022, 76(3), 681-693.</w:t>
      </w:r>
    </w:p>
    <w:p w14:paraId="325AEB31" w14:textId="77777777" w:rsidR="00994DDC" w:rsidRPr="00BF7F18" w:rsidRDefault="00994DDC" w:rsidP="00994DDC">
      <w:pPr>
        <w:pStyle w:val="ListParagraph"/>
        <w:numPr>
          <w:ilvl w:val="0"/>
          <w:numId w:val="2"/>
        </w:numPr>
        <w:ind w:left="284" w:hanging="284"/>
        <w:jc w:val="both"/>
        <w:rPr>
          <w:rFonts w:ascii="Verdana" w:hAnsi="Verdana"/>
          <w:sz w:val="16"/>
          <w:szCs w:val="16"/>
        </w:rPr>
      </w:pPr>
      <w:r w:rsidRPr="00BF7F18">
        <w:rPr>
          <w:rFonts w:ascii="Verdana" w:eastAsia="Times New Roman" w:hAnsi="Verdana" w:cs="Arial"/>
          <w:sz w:val="16"/>
          <w:szCs w:val="16"/>
        </w:rPr>
        <w:t>Sangro B, et al. Four-year overall survival update from the Phase 3 HIMALAYA study of tremelimumab plus durvalumab in unresectable hepatocellular carcinoma. Presented at ESMO World Congress on Gastrointestinal Cancer 2023, 28</w:t>
      </w:r>
      <w:r w:rsidRPr="00BF7F18">
        <w:rPr>
          <w:rFonts w:ascii="Verdana" w:eastAsia="Times New Roman" w:hAnsi="Verdana" w:cs="Arial"/>
          <w:sz w:val="16"/>
          <w:szCs w:val="16"/>
          <w:vertAlign w:val="superscript"/>
        </w:rPr>
        <w:t>th</w:t>
      </w:r>
      <w:r w:rsidRPr="00BF7F18">
        <w:rPr>
          <w:rFonts w:ascii="Verdana" w:eastAsia="Times New Roman" w:hAnsi="Verdana" w:cs="Arial"/>
          <w:sz w:val="16"/>
          <w:szCs w:val="16"/>
        </w:rPr>
        <w:t xml:space="preserve"> June-1</w:t>
      </w:r>
      <w:r w:rsidRPr="00BF7F18">
        <w:rPr>
          <w:rFonts w:ascii="Verdana" w:eastAsia="Times New Roman" w:hAnsi="Verdana" w:cs="Arial"/>
          <w:sz w:val="16"/>
          <w:szCs w:val="16"/>
          <w:vertAlign w:val="superscript"/>
        </w:rPr>
        <w:t>st</w:t>
      </w:r>
      <w:r w:rsidRPr="00BF7F18">
        <w:rPr>
          <w:rFonts w:ascii="Verdana" w:eastAsia="Times New Roman" w:hAnsi="Verdana" w:cs="Arial"/>
          <w:sz w:val="16"/>
          <w:szCs w:val="16"/>
        </w:rPr>
        <w:t xml:space="preserve"> July Barcelona, Spain.</w:t>
      </w:r>
    </w:p>
    <w:p w14:paraId="64FD90A3" w14:textId="389B62AA" w:rsidR="00994DDC" w:rsidRPr="00BF7F18" w:rsidRDefault="00994DDC" w:rsidP="00994DDC">
      <w:pPr>
        <w:pStyle w:val="ListParagraph"/>
        <w:numPr>
          <w:ilvl w:val="0"/>
          <w:numId w:val="2"/>
        </w:numPr>
        <w:ind w:left="284" w:hanging="284"/>
        <w:jc w:val="both"/>
        <w:rPr>
          <w:rFonts w:ascii="Verdana" w:hAnsi="Verdana"/>
          <w:sz w:val="16"/>
          <w:szCs w:val="16"/>
        </w:rPr>
      </w:pPr>
      <w:r w:rsidRPr="000A35C2">
        <w:rPr>
          <w:rFonts w:ascii="Verdana" w:eastAsia="Times New Roman" w:hAnsi="Verdana" w:cs="Arial"/>
          <w:sz w:val="16"/>
          <w:szCs w:val="16"/>
          <w:lang w:val="fr-FR"/>
        </w:rPr>
        <w:t xml:space="preserve">Sangro B, Galle PR, Kelley RK, et al.  </w:t>
      </w:r>
      <w:r w:rsidRPr="00BF7F18">
        <w:rPr>
          <w:rFonts w:ascii="Verdana" w:eastAsia="Times New Roman" w:hAnsi="Verdana" w:cs="Arial"/>
          <w:sz w:val="16"/>
          <w:szCs w:val="16"/>
        </w:rPr>
        <w:t xml:space="preserve">Patient-reported outcomes from the Phase 3 HIMALAYA study of tremelimumab plus durvalumab in unresectable hepatocellular carcinoma [poster]. Presented at 2022 ASCO Annual Meeting, June 3-7, </w:t>
      </w:r>
      <w:proofErr w:type="gramStart"/>
      <w:r w:rsidRPr="00BF7F18">
        <w:rPr>
          <w:rFonts w:ascii="Verdana" w:eastAsia="Times New Roman" w:hAnsi="Verdana" w:cs="Arial"/>
          <w:sz w:val="16"/>
          <w:szCs w:val="16"/>
        </w:rPr>
        <w:t>2022</w:t>
      </w:r>
      <w:r w:rsidR="00FE0115">
        <w:rPr>
          <w:rFonts w:ascii="Verdana" w:eastAsia="Times New Roman" w:hAnsi="Verdana" w:cs="Arial"/>
          <w:sz w:val="16"/>
          <w:szCs w:val="16"/>
        </w:rPr>
        <w:t>;</w:t>
      </w:r>
      <w:proofErr w:type="gramEnd"/>
      <w:r w:rsidRPr="00BF7F18">
        <w:rPr>
          <w:rFonts w:ascii="Verdana" w:eastAsia="Times New Roman" w:hAnsi="Verdana" w:cs="Arial"/>
          <w:sz w:val="16"/>
          <w:szCs w:val="16"/>
        </w:rPr>
        <w:t xml:space="preserve"> Chicago, Illinois. Poster 4074. </w:t>
      </w:r>
    </w:p>
    <w:p w14:paraId="6EA2B53F" w14:textId="77777777" w:rsidR="00994DDC" w:rsidRPr="00BF7F18" w:rsidRDefault="00994DDC" w:rsidP="00994DDC">
      <w:pPr>
        <w:pStyle w:val="ListParagraph"/>
        <w:numPr>
          <w:ilvl w:val="0"/>
          <w:numId w:val="2"/>
        </w:numPr>
        <w:ind w:left="284" w:hanging="284"/>
        <w:jc w:val="both"/>
        <w:rPr>
          <w:rFonts w:ascii="Verdana" w:hAnsi="Verdana"/>
          <w:sz w:val="16"/>
          <w:szCs w:val="16"/>
        </w:rPr>
      </w:pPr>
      <w:r w:rsidRPr="00BF7F18">
        <w:rPr>
          <w:rFonts w:ascii="Verdana" w:hAnsi="Verdana" w:cs="Arial"/>
          <w:sz w:val="16"/>
          <w:szCs w:val="16"/>
          <w:lang w:val="fr-FR"/>
        </w:rPr>
        <w:t xml:space="preserve">Abou-Alfa G, et al.  </w:t>
      </w:r>
      <w:r w:rsidRPr="00BF7F18">
        <w:rPr>
          <w:rFonts w:ascii="Verdana" w:hAnsi="Verdana" w:cs="Arial"/>
          <w:sz w:val="16"/>
          <w:szCs w:val="16"/>
        </w:rPr>
        <w:t xml:space="preserve">Tremelimumab plus Durvalumab in Unresectable Hepatocellular Carcinoma [article and supplementary appendix]. </w:t>
      </w:r>
      <w:r w:rsidRPr="00BF7F18">
        <w:rPr>
          <w:rFonts w:ascii="Verdana" w:hAnsi="Verdana" w:cs="Arial"/>
          <w:i/>
          <w:sz w:val="16"/>
          <w:szCs w:val="16"/>
        </w:rPr>
        <w:t>NEJM Evid</w:t>
      </w:r>
      <w:r w:rsidRPr="00BF7F18">
        <w:rPr>
          <w:rFonts w:ascii="Verdana" w:hAnsi="Verdana" w:cs="Arial"/>
          <w:sz w:val="16"/>
          <w:szCs w:val="16"/>
        </w:rPr>
        <w:t>. 2022;1(8). DOI: 10.1056/EVIDoa2100070</w:t>
      </w:r>
    </w:p>
    <w:p w14:paraId="4193392A" w14:textId="75639C4C" w:rsidR="00887D35" w:rsidRPr="002D3F72" w:rsidRDefault="00994DDC" w:rsidP="00887D35">
      <w:pPr>
        <w:pStyle w:val="ListParagraph"/>
        <w:numPr>
          <w:ilvl w:val="0"/>
          <w:numId w:val="2"/>
        </w:numPr>
        <w:ind w:left="284" w:hanging="284"/>
        <w:jc w:val="both"/>
        <w:rPr>
          <w:rFonts w:ascii="Verdana" w:hAnsi="Verdana"/>
          <w:sz w:val="16"/>
          <w:szCs w:val="16"/>
        </w:rPr>
      </w:pPr>
      <w:r w:rsidRPr="00BF7F18">
        <w:rPr>
          <w:rFonts w:ascii="Verdana" w:hAnsi="Verdana"/>
          <w:sz w:val="16"/>
          <w:szCs w:val="16"/>
        </w:rPr>
        <w:t xml:space="preserve">Kelley et al. Safety, Efficacy, and Pharmacodynamics of Tremelimumab Plus Durvalumab for Patients </w:t>
      </w:r>
      <w:proofErr w:type="gramStart"/>
      <w:r w:rsidRPr="00BF7F18">
        <w:rPr>
          <w:rFonts w:ascii="Verdana" w:hAnsi="Verdana"/>
          <w:sz w:val="16"/>
          <w:szCs w:val="16"/>
        </w:rPr>
        <w:t>With</w:t>
      </w:r>
      <w:proofErr w:type="gramEnd"/>
      <w:r w:rsidRPr="00BF7F18">
        <w:rPr>
          <w:rFonts w:ascii="Verdana" w:hAnsi="Verdana"/>
          <w:sz w:val="16"/>
          <w:szCs w:val="16"/>
        </w:rPr>
        <w:t xml:space="preserve"> Unresectable Hepatocellular Carcinoma: Randomized Expansion of a Phase I/II Study. J Clin Oncol 2021 39(27):2991-3001.</w:t>
      </w:r>
    </w:p>
    <w:p w14:paraId="3350572E" w14:textId="72326DB7" w:rsidR="007A0265" w:rsidRPr="00665ED0" w:rsidRDefault="00233F84" w:rsidP="007A0265">
      <w:pPr>
        <w:jc w:val="both"/>
        <w:rPr>
          <w:rFonts w:ascii="Verdana" w:hAnsi="Verdana"/>
          <w:color w:val="0563C1" w:themeColor="hyperlink"/>
          <w:sz w:val="16"/>
          <w:szCs w:val="16"/>
          <w:u w:val="single"/>
        </w:rPr>
      </w:pPr>
      <w:hyperlink r:id="rId15" w:history="1">
        <w:proofErr w:type="spellStart"/>
        <w:r w:rsidR="006F5989" w:rsidRPr="00233F84">
          <w:rPr>
            <w:rStyle w:val="Hyperlink"/>
            <w:rFonts w:ascii="Verdana" w:hAnsi="Verdana"/>
            <w:sz w:val="16"/>
            <w:szCs w:val="16"/>
          </w:rPr>
          <w:t>Imjud</w:t>
        </w:r>
        <w:r w:rsidR="00665ED0" w:rsidRPr="00233F84">
          <w:rPr>
            <w:rStyle w:val="Hyperlink"/>
            <w:rFonts w:ascii="Verdana" w:hAnsi="Verdana"/>
            <w:sz w:val="16"/>
            <w:szCs w:val="16"/>
          </w:rPr>
          <w:t>o</w:t>
        </w:r>
        <w:proofErr w:type="spellEnd"/>
        <w:r w:rsidR="00665ED0" w:rsidRPr="00233F84">
          <w:rPr>
            <w:rStyle w:val="Hyperlink"/>
            <w:rFonts w:ascii="Verdana" w:hAnsi="Verdana"/>
            <w:sz w:val="16"/>
            <w:szCs w:val="16"/>
          </w:rPr>
          <w:t xml:space="preserve"> PI</w:t>
        </w:r>
      </w:hyperlink>
    </w:p>
    <w:p w14:paraId="44B7647C" w14:textId="3BC152DE" w:rsidR="00C54473" w:rsidRDefault="007A0265" w:rsidP="007A0265">
      <w:pPr>
        <w:jc w:val="both"/>
        <w:rPr>
          <w:rFonts w:ascii="Verdana" w:hAnsi="Verdana"/>
          <w:sz w:val="16"/>
          <w:szCs w:val="16"/>
        </w:rPr>
      </w:pPr>
      <w:r w:rsidRPr="007A0265">
        <w:rPr>
          <w:rFonts w:ascii="Arial" w:hAnsi="Arial" w:cs="Arial"/>
          <w:sz w:val="16"/>
          <w:szCs w:val="16"/>
        </w:rPr>
        <w:t>▼</w:t>
      </w:r>
      <w:r w:rsidRPr="007A0265">
        <w:rPr>
          <w:rFonts w:ascii="Verdana" w:hAnsi="Verdana"/>
          <w:sz w:val="16"/>
          <w:szCs w:val="16"/>
        </w:rPr>
        <w:t xml:space="preserve">Dieses Arzneimittel unterliegt einer zusätzlichen Überwachung. </w:t>
      </w:r>
      <w:r w:rsidR="005E7A6C" w:rsidRPr="007A0265">
        <w:rPr>
          <w:rFonts w:ascii="Verdana" w:hAnsi="Verdana"/>
          <w:sz w:val="16"/>
          <w:szCs w:val="16"/>
        </w:rPr>
        <w:t>Für weitere Informationen</w:t>
      </w:r>
      <w:r w:rsidRPr="007A0265">
        <w:rPr>
          <w:rFonts w:ascii="Verdana" w:hAnsi="Verdana"/>
          <w:sz w:val="16"/>
          <w:szCs w:val="16"/>
        </w:rPr>
        <w:t xml:space="preserve"> siehe</w:t>
      </w:r>
      <w:r w:rsidR="006F5989">
        <w:rPr>
          <w:rFonts w:ascii="Verdana" w:hAnsi="Verdana"/>
          <w:sz w:val="16"/>
          <w:szCs w:val="16"/>
        </w:rPr>
        <w:t xml:space="preserve"> </w:t>
      </w:r>
      <w:r w:rsidRPr="007A0265">
        <w:rPr>
          <w:rFonts w:ascii="Verdana" w:hAnsi="Verdana"/>
          <w:sz w:val="16"/>
          <w:szCs w:val="16"/>
        </w:rPr>
        <w:t>Fachinformation von</w:t>
      </w:r>
      <w:r>
        <w:rPr>
          <w:rFonts w:ascii="Verdana" w:hAnsi="Verdana"/>
          <w:sz w:val="16"/>
          <w:szCs w:val="16"/>
        </w:rPr>
        <w:t xml:space="preserve"> </w:t>
      </w:r>
      <w:hyperlink r:id="rId16" w:history="1">
        <w:proofErr w:type="spellStart"/>
        <w:r w:rsidRPr="00BF09C2">
          <w:rPr>
            <w:rStyle w:val="Hyperlink"/>
            <w:rFonts w:ascii="Verdana" w:hAnsi="Verdana"/>
            <w:sz w:val="16"/>
            <w:szCs w:val="16"/>
          </w:rPr>
          <w:t>Imjudo</w:t>
        </w:r>
        <w:proofErr w:type="spellEnd"/>
      </w:hyperlink>
    </w:p>
    <w:p w14:paraId="26DE3169" w14:textId="77777777" w:rsidR="007A0265" w:rsidRDefault="007A0265" w:rsidP="007A0265">
      <w:pPr>
        <w:jc w:val="both"/>
        <w:rPr>
          <w:rFonts w:ascii="Verdana" w:hAnsi="Verdana"/>
          <w:sz w:val="16"/>
          <w:szCs w:val="16"/>
        </w:rPr>
      </w:pPr>
    </w:p>
    <w:p w14:paraId="4381DA35" w14:textId="0997620F" w:rsidR="00887D35" w:rsidRPr="00887D35" w:rsidRDefault="00887D35" w:rsidP="00887D35">
      <w:pPr>
        <w:jc w:val="both"/>
        <w:rPr>
          <w:rFonts w:ascii="Verdana" w:hAnsi="Verdana"/>
          <w:sz w:val="16"/>
          <w:szCs w:val="16"/>
        </w:rPr>
      </w:pPr>
      <w:r w:rsidRPr="00887D35">
        <w:rPr>
          <w:rFonts w:ascii="Verdana" w:hAnsi="Verdana"/>
          <w:sz w:val="16"/>
          <w:szCs w:val="16"/>
        </w:rPr>
        <w:t>Weitere</w:t>
      </w:r>
      <w:r w:rsidR="005F299F">
        <w:rPr>
          <w:rFonts w:ascii="Verdana" w:hAnsi="Verdana"/>
          <w:sz w:val="16"/>
          <w:szCs w:val="16"/>
        </w:rPr>
        <w:t xml:space="preserve"> </w:t>
      </w:r>
      <w:r w:rsidRPr="00887D35">
        <w:rPr>
          <w:rFonts w:ascii="Verdana" w:hAnsi="Verdana"/>
          <w:sz w:val="16"/>
          <w:szCs w:val="16"/>
        </w:rPr>
        <w:t>Informationen: </w:t>
      </w:r>
      <w:hyperlink r:id="rId17" w:tgtFrame="_blank" w:tooltip="http://www.swissmedicinfo.ch/accept.aspx?returnurl=%2f" w:history="1">
        <w:r w:rsidRPr="00887D35">
          <w:rPr>
            <w:rStyle w:val="Hyperlink"/>
            <w:rFonts w:ascii="Verdana" w:hAnsi="Verdana"/>
            <w:sz w:val="16"/>
            <w:szCs w:val="16"/>
          </w:rPr>
          <w:t>www.swissmedicinfo.ch</w:t>
        </w:r>
      </w:hyperlink>
      <w:r w:rsidRPr="00887D35">
        <w:rPr>
          <w:rFonts w:ascii="Verdana" w:hAnsi="Verdana"/>
          <w:sz w:val="16"/>
          <w:szCs w:val="16"/>
        </w:rPr>
        <w:t> oder AstraZeneca AG, Neuhofstrasse 34, 6340 Baar. </w:t>
      </w:r>
      <w:hyperlink r:id="rId18" w:tgtFrame="_blank" w:tooltip="http://www.astrazeneca.ch/" w:history="1">
        <w:r w:rsidRPr="00887D35">
          <w:rPr>
            <w:rStyle w:val="Hyperlink"/>
            <w:rFonts w:ascii="Verdana" w:hAnsi="Verdana"/>
            <w:sz w:val="16"/>
            <w:szCs w:val="16"/>
          </w:rPr>
          <w:t>www.astrazeneca.ch</w:t>
        </w:r>
      </w:hyperlink>
      <w:r w:rsidRPr="00887D35">
        <w:rPr>
          <w:rFonts w:ascii="Verdana" w:hAnsi="Verdana"/>
          <w:sz w:val="16"/>
          <w:szCs w:val="16"/>
        </w:rPr>
        <w:t>.</w:t>
      </w:r>
    </w:p>
    <w:p w14:paraId="61670463" w14:textId="432F09FE" w:rsidR="00887D35" w:rsidRPr="00FE079B" w:rsidRDefault="00887D35" w:rsidP="005F299F">
      <w:pPr>
        <w:jc w:val="both"/>
        <w:rPr>
          <w:rFonts w:ascii="Verdana" w:eastAsia="SimSun" w:hAnsi="Verdana" w:cs="Times New Roman"/>
          <w:sz w:val="16"/>
          <w:szCs w:val="16"/>
        </w:rPr>
      </w:pPr>
      <w:r w:rsidRPr="00FE079B">
        <w:rPr>
          <w:rFonts w:ascii="Verdana" w:eastAsia="SimSun" w:hAnsi="Verdana" w:cs="Times New Roman"/>
          <w:sz w:val="16"/>
          <w:szCs w:val="16"/>
        </w:rPr>
        <w:t>Fachpersonen können die genannten Referenzen bei AstraZeneca AG anfordern.</w:t>
      </w:r>
    </w:p>
    <w:sectPr w:rsidR="00887D35" w:rsidRPr="00FE079B" w:rsidSect="00FE079B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26709" w14:textId="77777777" w:rsidR="000F2ECC" w:rsidRDefault="000F2ECC" w:rsidP="00064242">
      <w:r>
        <w:separator/>
      </w:r>
    </w:p>
  </w:endnote>
  <w:endnote w:type="continuationSeparator" w:id="0">
    <w:p w14:paraId="7F8B7650" w14:textId="77777777" w:rsidR="000F2ECC" w:rsidRDefault="000F2ECC" w:rsidP="00064242">
      <w:r>
        <w:continuationSeparator/>
      </w:r>
    </w:p>
  </w:endnote>
  <w:endnote w:type="continuationNotice" w:id="1">
    <w:p w14:paraId="4C0080C4" w14:textId="77777777" w:rsidR="000F2ECC" w:rsidRDefault="000F2E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75273" w14:textId="77777777" w:rsidR="00FE079B" w:rsidRDefault="00FE0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B69E6" w14:textId="0ED9812B" w:rsidR="00064242" w:rsidRPr="00064242" w:rsidRDefault="00FE079B">
    <w:pPr>
      <w:pStyle w:val="Footer"/>
      <w:rPr>
        <w:lang w:val="en-US"/>
      </w:rPr>
    </w:pPr>
    <w:r w:rsidRPr="00FE079B">
      <w:t>CH-9984</w:t>
    </w:r>
    <w:r w:rsidR="00E67249">
      <w:t>/</w:t>
    </w:r>
    <w:r w:rsidR="00D4493E">
      <w:t>Juli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3911D" w14:textId="77777777" w:rsidR="00FE079B" w:rsidRDefault="00FE0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3C15D" w14:textId="77777777" w:rsidR="000F2ECC" w:rsidRDefault="000F2ECC" w:rsidP="00064242">
      <w:r>
        <w:separator/>
      </w:r>
    </w:p>
  </w:footnote>
  <w:footnote w:type="continuationSeparator" w:id="0">
    <w:p w14:paraId="01528015" w14:textId="77777777" w:rsidR="000F2ECC" w:rsidRDefault="000F2ECC" w:rsidP="00064242">
      <w:r>
        <w:continuationSeparator/>
      </w:r>
    </w:p>
  </w:footnote>
  <w:footnote w:type="continuationNotice" w:id="1">
    <w:p w14:paraId="3B1300B5" w14:textId="77777777" w:rsidR="000F2ECC" w:rsidRDefault="000F2E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215AF" w14:textId="77777777" w:rsidR="00FE079B" w:rsidRDefault="00FE0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96C18" w14:textId="77777777" w:rsidR="00FE079B" w:rsidRDefault="00FE0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6938C" w14:textId="77777777" w:rsidR="00FE079B" w:rsidRDefault="00FE0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94D7B"/>
    <w:multiLevelType w:val="hybridMultilevel"/>
    <w:tmpl w:val="81041A0E"/>
    <w:lvl w:ilvl="0" w:tplc="D8B64B2E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16" w:hanging="360"/>
      </w:pPr>
    </w:lvl>
    <w:lvl w:ilvl="2" w:tplc="2000001B" w:tentative="1">
      <w:start w:val="1"/>
      <w:numFmt w:val="lowerRoman"/>
      <w:lvlText w:val="%3."/>
      <w:lvlJc w:val="right"/>
      <w:pPr>
        <w:ind w:left="2236" w:hanging="180"/>
      </w:pPr>
    </w:lvl>
    <w:lvl w:ilvl="3" w:tplc="2000000F" w:tentative="1">
      <w:start w:val="1"/>
      <w:numFmt w:val="decimal"/>
      <w:lvlText w:val="%4."/>
      <w:lvlJc w:val="left"/>
      <w:pPr>
        <w:ind w:left="2956" w:hanging="360"/>
      </w:pPr>
    </w:lvl>
    <w:lvl w:ilvl="4" w:tplc="20000019" w:tentative="1">
      <w:start w:val="1"/>
      <w:numFmt w:val="lowerLetter"/>
      <w:lvlText w:val="%5."/>
      <w:lvlJc w:val="left"/>
      <w:pPr>
        <w:ind w:left="3676" w:hanging="360"/>
      </w:pPr>
    </w:lvl>
    <w:lvl w:ilvl="5" w:tplc="2000001B" w:tentative="1">
      <w:start w:val="1"/>
      <w:numFmt w:val="lowerRoman"/>
      <w:lvlText w:val="%6."/>
      <w:lvlJc w:val="right"/>
      <w:pPr>
        <w:ind w:left="4396" w:hanging="180"/>
      </w:pPr>
    </w:lvl>
    <w:lvl w:ilvl="6" w:tplc="2000000F" w:tentative="1">
      <w:start w:val="1"/>
      <w:numFmt w:val="decimal"/>
      <w:lvlText w:val="%7."/>
      <w:lvlJc w:val="left"/>
      <w:pPr>
        <w:ind w:left="5116" w:hanging="360"/>
      </w:pPr>
    </w:lvl>
    <w:lvl w:ilvl="7" w:tplc="20000019" w:tentative="1">
      <w:start w:val="1"/>
      <w:numFmt w:val="lowerLetter"/>
      <w:lvlText w:val="%8."/>
      <w:lvlJc w:val="left"/>
      <w:pPr>
        <w:ind w:left="5836" w:hanging="360"/>
      </w:pPr>
    </w:lvl>
    <w:lvl w:ilvl="8" w:tplc="2000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179155F5"/>
    <w:multiLevelType w:val="hybridMultilevel"/>
    <w:tmpl w:val="9FC6F100"/>
    <w:lvl w:ilvl="0" w:tplc="BEEE34E4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E735F"/>
    <w:multiLevelType w:val="hybridMultilevel"/>
    <w:tmpl w:val="99B2EFF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008C8"/>
    <w:multiLevelType w:val="hybridMultilevel"/>
    <w:tmpl w:val="475E63F6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F7E47"/>
    <w:multiLevelType w:val="hybridMultilevel"/>
    <w:tmpl w:val="F1806D2E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FE54CB"/>
    <w:multiLevelType w:val="hybridMultilevel"/>
    <w:tmpl w:val="AD6C9FAE"/>
    <w:lvl w:ilvl="0" w:tplc="040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A4D05AD"/>
    <w:multiLevelType w:val="hybridMultilevel"/>
    <w:tmpl w:val="F7F6191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E807C7"/>
    <w:multiLevelType w:val="hybridMultilevel"/>
    <w:tmpl w:val="7166BA04"/>
    <w:lvl w:ilvl="0" w:tplc="BFA22EE4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="Calibr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953F29"/>
    <w:multiLevelType w:val="hybridMultilevel"/>
    <w:tmpl w:val="74DEEA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A0310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8922C60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FA663FE">
      <w:start w:val="16"/>
      <w:numFmt w:val="bullet"/>
      <w:lvlText w:val="-"/>
      <w:lvlJc w:val="left"/>
      <w:pPr>
        <w:ind w:left="3240" w:hanging="360"/>
      </w:pPr>
      <w:rPr>
        <w:rFonts w:ascii="Arial" w:eastAsia="Arial" w:hAnsi="Arial" w:cs="Arial" w:hint="default"/>
        <w:b/>
        <w:i w:val="0"/>
      </w:rPr>
    </w:lvl>
    <w:lvl w:ilvl="5" w:tplc="D45A201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E967F6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388651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92CB9C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 w16cid:durableId="396904542">
    <w:abstractNumId w:val="8"/>
  </w:num>
  <w:num w:numId="2" w16cid:durableId="704599071">
    <w:abstractNumId w:val="6"/>
  </w:num>
  <w:num w:numId="3" w16cid:durableId="1466507784">
    <w:abstractNumId w:val="1"/>
  </w:num>
  <w:num w:numId="4" w16cid:durableId="2141724325">
    <w:abstractNumId w:val="5"/>
  </w:num>
  <w:num w:numId="5" w16cid:durableId="2066683966">
    <w:abstractNumId w:val="4"/>
  </w:num>
  <w:num w:numId="6" w16cid:durableId="401172831">
    <w:abstractNumId w:val="3"/>
  </w:num>
  <w:num w:numId="7" w16cid:durableId="408381737">
    <w:abstractNumId w:val="2"/>
  </w:num>
  <w:num w:numId="8" w16cid:durableId="1116565540">
    <w:abstractNumId w:val="0"/>
  </w:num>
  <w:num w:numId="9" w16cid:durableId="19998391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173"/>
    <w:rsid w:val="00000200"/>
    <w:rsid w:val="000005BA"/>
    <w:rsid w:val="000021C4"/>
    <w:rsid w:val="00016485"/>
    <w:rsid w:val="00017BBB"/>
    <w:rsid w:val="00020A1C"/>
    <w:rsid w:val="0002267E"/>
    <w:rsid w:val="00025342"/>
    <w:rsid w:val="000255CC"/>
    <w:rsid w:val="0002595B"/>
    <w:rsid w:val="0002798B"/>
    <w:rsid w:val="00027CED"/>
    <w:rsid w:val="00027DDC"/>
    <w:rsid w:val="00030B67"/>
    <w:rsid w:val="00035F69"/>
    <w:rsid w:val="00040701"/>
    <w:rsid w:val="00042973"/>
    <w:rsid w:val="00042E47"/>
    <w:rsid w:val="00057587"/>
    <w:rsid w:val="00064242"/>
    <w:rsid w:val="0006781D"/>
    <w:rsid w:val="000826BC"/>
    <w:rsid w:val="00083002"/>
    <w:rsid w:val="00083DE0"/>
    <w:rsid w:val="000844B1"/>
    <w:rsid w:val="000868F6"/>
    <w:rsid w:val="00094907"/>
    <w:rsid w:val="000962C5"/>
    <w:rsid w:val="000A0856"/>
    <w:rsid w:val="000A1902"/>
    <w:rsid w:val="000A35C2"/>
    <w:rsid w:val="000B5BE8"/>
    <w:rsid w:val="000C09E1"/>
    <w:rsid w:val="000C50E7"/>
    <w:rsid w:val="000C665E"/>
    <w:rsid w:val="000D0B64"/>
    <w:rsid w:val="000D3328"/>
    <w:rsid w:val="000D5353"/>
    <w:rsid w:val="000D5880"/>
    <w:rsid w:val="000D6DC8"/>
    <w:rsid w:val="000E279C"/>
    <w:rsid w:val="000E712B"/>
    <w:rsid w:val="000F0B64"/>
    <w:rsid w:val="000F2ECC"/>
    <w:rsid w:val="000F3F00"/>
    <w:rsid w:val="000F40BB"/>
    <w:rsid w:val="000F423F"/>
    <w:rsid w:val="000F44DF"/>
    <w:rsid w:val="000F541A"/>
    <w:rsid w:val="000F6007"/>
    <w:rsid w:val="000F671D"/>
    <w:rsid w:val="000F6FB8"/>
    <w:rsid w:val="00107F10"/>
    <w:rsid w:val="0011155E"/>
    <w:rsid w:val="0011520C"/>
    <w:rsid w:val="00121653"/>
    <w:rsid w:val="0012707E"/>
    <w:rsid w:val="0013040A"/>
    <w:rsid w:val="001316E3"/>
    <w:rsid w:val="001365D4"/>
    <w:rsid w:val="00143821"/>
    <w:rsid w:val="00144611"/>
    <w:rsid w:val="0015166D"/>
    <w:rsid w:val="00152307"/>
    <w:rsid w:val="00152C5F"/>
    <w:rsid w:val="00160846"/>
    <w:rsid w:val="001631CE"/>
    <w:rsid w:val="00163BD9"/>
    <w:rsid w:val="00164B65"/>
    <w:rsid w:val="00165EC7"/>
    <w:rsid w:val="001733FB"/>
    <w:rsid w:val="001803A4"/>
    <w:rsid w:val="00186742"/>
    <w:rsid w:val="001877BE"/>
    <w:rsid w:val="00192E7D"/>
    <w:rsid w:val="001A0563"/>
    <w:rsid w:val="001A06ED"/>
    <w:rsid w:val="001A0C48"/>
    <w:rsid w:val="001A0D80"/>
    <w:rsid w:val="001A58DE"/>
    <w:rsid w:val="001A5E09"/>
    <w:rsid w:val="001A7EBF"/>
    <w:rsid w:val="001B7D08"/>
    <w:rsid w:val="001C1245"/>
    <w:rsid w:val="001C3621"/>
    <w:rsid w:val="001C65AF"/>
    <w:rsid w:val="001C7590"/>
    <w:rsid w:val="001D1E37"/>
    <w:rsid w:val="001D2F0E"/>
    <w:rsid w:val="001D54C8"/>
    <w:rsid w:val="001D6141"/>
    <w:rsid w:val="001E0E9C"/>
    <w:rsid w:val="001E4ED4"/>
    <w:rsid w:val="001E5198"/>
    <w:rsid w:val="001F0C38"/>
    <w:rsid w:val="001F43C6"/>
    <w:rsid w:val="001F5663"/>
    <w:rsid w:val="001F622A"/>
    <w:rsid w:val="002028B4"/>
    <w:rsid w:val="00202A7D"/>
    <w:rsid w:val="00210484"/>
    <w:rsid w:val="0021067E"/>
    <w:rsid w:val="0021600A"/>
    <w:rsid w:val="00216F58"/>
    <w:rsid w:val="00217E50"/>
    <w:rsid w:val="00233F84"/>
    <w:rsid w:val="00234439"/>
    <w:rsid w:val="00234D06"/>
    <w:rsid w:val="00234DB2"/>
    <w:rsid w:val="0023620F"/>
    <w:rsid w:val="002440C4"/>
    <w:rsid w:val="00246017"/>
    <w:rsid w:val="002467F1"/>
    <w:rsid w:val="00264639"/>
    <w:rsid w:val="002678A9"/>
    <w:rsid w:val="00271582"/>
    <w:rsid w:val="00273535"/>
    <w:rsid w:val="00284917"/>
    <w:rsid w:val="002957CD"/>
    <w:rsid w:val="00296C21"/>
    <w:rsid w:val="002A1EBF"/>
    <w:rsid w:val="002B0338"/>
    <w:rsid w:val="002B1DA5"/>
    <w:rsid w:val="002B1E18"/>
    <w:rsid w:val="002B512A"/>
    <w:rsid w:val="002B5D72"/>
    <w:rsid w:val="002B6E39"/>
    <w:rsid w:val="002B749F"/>
    <w:rsid w:val="002C51FA"/>
    <w:rsid w:val="002C56D2"/>
    <w:rsid w:val="002C6402"/>
    <w:rsid w:val="002C6AC2"/>
    <w:rsid w:val="002C705B"/>
    <w:rsid w:val="002C70A9"/>
    <w:rsid w:val="002D3F72"/>
    <w:rsid w:val="002D62B2"/>
    <w:rsid w:val="002D798D"/>
    <w:rsid w:val="002E1B79"/>
    <w:rsid w:val="002E1E23"/>
    <w:rsid w:val="002E2026"/>
    <w:rsid w:val="002E3D6A"/>
    <w:rsid w:val="002E5745"/>
    <w:rsid w:val="002F05F0"/>
    <w:rsid w:val="002F40AE"/>
    <w:rsid w:val="00300D54"/>
    <w:rsid w:val="00305474"/>
    <w:rsid w:val="00305797"/>
    <w:rsid w:val="0030651B"/>
    <w:rsid w:val="00311053"/>
    <w:rsid w:val="0031380D"/>
    <w:rsid w:val="00314219"/>
    <w:rsid w:val="0032101D"/>
    <w:rsid w:val="0032412B"/>
    <w:rsid w:val="00324FB3"/>
    <w:rsid w:val="00325055"/>
    <w:rsid w:val="003336D3"/>
    <w:rsid w:val="003410B2"/>
    <w:rsid w:val="003423C9"/>
    <w:rsid w:val="0035244E"/>
    <w:rsid w:val="0035737F"/>
    <w:rsid w:val="00357978"/>
    <w:rsid w:val="0036379E"/>
    <w:rsid w:val="00367DAD"/>
    <w:rsid w:val="00367DFC"/>
    <w:rsid w:val="0037605C"/>
    <w:rsid w:val="00377B4E"/>
    <w:rsid w:val="00382ADE"/>
    <w:rsid w:val="00382E69"/>
    <w:rsid w:val="00382EFD"/>
    <w:rsid w:val="0038373E"/>
    <w:rsid w:val="0039477C"/>
    <w:rsid w:val="003951DB"/>
    <w:rsid w:val="0039595C"/>
    <w:rsid w:val="003960AE"/>
    <w:rsid w:val="00397BFC"/>
    <w:rsid w:val="003A1DCE"/>
    <w:rsid w:val="003A1FD6"/>
    <w:rsid w:val="003A7D90"/>
    <w:rsid w:val="003B13B5"/>
    <w:rsid w:val="003B2768"/>
    <w:rsid w:val="003C0C1C"/>
    <w:rsid w:val="003C43D6"/>
    <w:rsid w:val="003C5B6D"/>
    <w:rsid w:val="003C6FBD"/>
    <w:rsid w:val="003D48AE"/>
    <w:rsid w:val="003D5E31"/>
    <w:rsid w:val="003E4107"/>
    <w:rsid w:val="003F0EB8"/>
    <w:rsid w:val="003F47BB"/>
    <w:rsid w:val="003F6B8E"/>
    <w:rsid w:val="00401DDF"/>
    <w:rsid w:val="00406FC7"/>
    <w:rsid w:val="00407252"/>
    <w:rsid w:val="00411077"/>
    <w:rsid w:val="004112D4"/>
    <w:rsid w:val="00411994"/>
    <w:rsid w:val="00412980"/>
    <w:rsid w:val="0041616F"/>
    <w:rsid w:val="00422989"/>
    <w:rsid w:val="00422C39"/>
    <w:rsid w:val="00424C23"/>
    <w:rsid w:val="00425C01"/>
    <w:rsid w:val="0042687F"/>
    <w:rsid w:val="0043090C"/>
    <w:rsid w:val="00432933"/>
    <w:rsid w:val="004432DE"/>
    <w:rsid w:val="004467B5"/>
    <w:rsid w:val="0045241B"/>
    <w:rsid w:val="00455399"/>
    <w:rsid w:val="00460466"/>
    <w:rsid w:val="00462E16"/>
    <w:rsid w:val="00463A74"/>
    <w:rsid w:val="00467737"/>
    <w:rsid w:val="0047036D"/>
    <w:rsid w:val="004713EE"/>
    <w:rsid w:val="00471F07"/>
    <w:rsid w:val="00472143"/>
    <w:rsid w:val="00474A86"/>
    <w:rsid w:val="00475167"/>
    <w:rsid w:val="0047649E"/>
    <w:rsid w:val="00481577"/>
    <w:rsid w:val="0048283C"/>
    <w:rsid w:val="00482C34"/>
    <w:rsid w:val="00486056"/>
    <w:rsid w:val="0048682F"/>
    <w:rsid w:val="004928EA"/>
    <w:rsid w:val="00493A99"/>
    <w:rsid w:val="004961AC"/>
    <w:rsid w:val="004A5720"/>
    <w:rsid w:val="004A57DB"/>
    <w:rsid w:val="004A5F00"/>
    <w:rsid w:val="004B01E3"/>
    <w:rsid w:val="004B6E0E"/>
    <w:rsid w:val="004C187F"/>
    <w:rsid w:val="004C588F"/>
    <w:rsid w:val="004C5C2C"/>
    <w:rsid w:val="004C6BBF"/>
    <w:rsid w:val="004D0DA7"/>
    <w:rsid w:val="004D37A1"/>
    <w:rsid w:val="004D3FE3"/>
    <w:rsid w:val="004D56A6"/>
    <w:rsid w:val="004D5D11"/>
    <w:rsid w:val="004E03DE"/>
    <w:rsid w:val="004E3084"/>
    <w:rsid w:val="004E39E5"/>
    <w:rsid w:val="004E4785"/>
    <w:rsid w:val="004F31EB"/>
    <w:rsid w:val="004F7770"/>
    <w:rsid w:val="0050175C"/>
    <w:rsid w:val="00510B15"/>
    <w:rsid w:val="00512723"/>
    <w:rsid w:val="005145B8"/>
    <w:rsid w:val="00515574"/>
    <w:rsid w:val="005162CF"/>
    <w:rsid w:val="00516D66"/>
    <w:rsid w:val="00517270"/>
    <w:rsid w:val="00522B0E"/>
    <w:rsid w:val="00522F3A"/>
    <w:rsid w:val="00526B46"/>
    <w:rsid w:val="00535C77"/>
    <w:rsid w:val="0054168C"/>
    <w:rsid w:val="005525D5"/>
    <w:rsid w:val="00554968"/>
    <w:rsid w:val="00555C37"/>
    <w:rsid w:val="00557129"/>
    <w:rsid w:val="005614EA"/>
    <w:rsid w:val="0056543F"/>
    <w:rsid w:val="0057013D"/>
    <w:rsid w:val="005704A0"/>
    <w:rsid w:val="005704C6"/>
    <w:rsid w:val="00570D01"/>
    <w:rsid w:val="00574B35"/>
    <w:rsid w:val="00575BC5"/>
    <w:rsid w:val="00582340"/>
    <w:rsid w:val="005826B3"/>
    <w:rsid w:val="0058273F"/>
    <w:rsid w:val="00594326"/>
    <w:rsid w:val="00595580"/>
    <w:rsid w:val="005A1E02"/>
    <w:rsid w:val="005A3446"/>
    <w:rsid w:val="005A3E2B"/>
    <w:rsid w:val="005A78FB"/>
    <w:rsid w:val="005B6FD1"/>
    <w:rsid w:val="005C053F"/>
    <w:rsid w:val="005C1BA8"/>
    <w:rsid w:val="005D230A"/>
    <w:rsid w:val="005D3A06"/>
    <w:rsid w:val="005D6580"/>
    <w:rsid w:val="005D7AFB"/>
    <w:rsid w:val="005D7D3D"/>
    <w:rsid w:val="005E2C7C"/>
    <w:rsid w:val="005E3444"/>
    <w:rsid w:val="005E7A6C"/>
    <w:rsid w:val="005F299F"/>
    <w:rsid w:val="005F376D"/>
    <w:rsid w:val="00604BBE"/>
    <w:rsid w:val="00610EFE"/>
    <w:rsid w:val="00622943"/>
    <w:rsid w:val="00623731"/>
    <w:rsid w:val="00633BC8"/>
    <w:rsid w:val="00637E6F"/>
    <w:rsid w:val="00640C67"/>
    <w:rsid w:val="00640EFB"/>
    <w:rsid w:val="006431FC"/>
    <w:rsid w:val="00651A7B"/>
    <w:rsid w:val="0065478E"/>
    <w:rsid w:val="00656F95"/>
    <w:rsid w:val="00660E73"/>
    <w:rsid w:val="006636A9"/>
    <w:rsid w:val="0066371A"/>
    <w:rsid w:val="00664894"/>
    <w:rsid w:val="00665ED0"/>
    <w:rsid w:val="00675451"/>
    <w:rsid w:val="00676691"/>
    <w:rsid w:val="00680690"/>
    <w:rsid w:val="00680F4E"/>
    <w:rsid w:val="006818E6"/>
    <w:rsid w:val="00684014"/>
    <w:rsid w:val="00684C66"/>
    <w:rsid w:val="00686A03"/>
    <w:rsid w:val="00686D24"/>
    <w:rsid w:val="00695488"/>
    <w:rsid w:val="006A0359"/>
    <w:rsid w:val="006A1E42"/>
    <w:rsid w:val="006A6E53"/>
    <w:rsid w:val="006B0E67"/>
    <w:rsid w:val="006B4929"/>
    <w:rsid w:val="006B61FF"/>
    <w:rsid w:val="006C3EA8"/>
    <w:rsid w:val="006C68D2"/>
    <w:rsid w:val="006D1E6A"/>
    <w:rsid w:val="006D34DA"/>
    <w:rsid w:val="006D4981"/>
    <w:rsid w:val="006D74A5"/>
    <w:rsid w:val="006E70F9"/>
    <w:rsid w:val="006F4AF4"/>
    <w:rsid w:val="006F5989"/>
    <w:rsid w:val="006F68D5"/>
    <w:rsid w:val="00700C9B"/>
    <w:rsid w:val="00704973"/>
    <w:rsid w:val="00705C6A"/>
    <w:rsid w:val="00711401"/>
    <w:rsid w:val="00713E51"/>
    <w:rsid w:val="007155BB"/>
    <w:rsid w:val="00721171"/>
    <w:rsid w:val="007301C2"/>
    <w:rsid w:val="00740E42"/>
    <w:rsid w:val="00742D19"/>
    <w:rsid w:val="00743371"/>
    <w:rsid w:val="00745166"/>
    <w:rsid w:val="00745F31"/>
    <w:rsid w:val="00756D0E"/>
    <w:rsid w:val="00756DCD"/>
    <w:rsid w:val="00757C16"/>
    <w:rsid w:val="00757FFA"/>
    <w:rsid w:val="00762B27"/>
    <w:rsid w:val="0076428C"/>
    <w:rsid w:val="007645A0"/>
    <w:rsid w:val="00765991"/>
    <w:rsid w:val="00773654"/>
    <w:rsid w:val="007771E4"/>
    <w:rsid w:val="0078031B"/>
    <w:rsid w:val="0078063B"/>
    <w:rsid w:val="00785002"/>
    <w:rsid w:val="00785E9E"/>
    <w:rsid w:val="00787534"/>
    <w:rsid w:val="0078794E"/>
    <w:rsid w:val="0079105C"/>
    <w:rsid w:val="00792EB3"/>
    <w:rsid w:val="00793B90"/>
    <w:rsid w:val="00793C34"/>
    <w:rsid w:val="00795685"/>
    <w:rsid w:val="007A0265"/>
    <w:rsid w:val="007A0E02"/>
    <w:rsid w:val="007A24F9"/>
    <w:rsid w:val="007A299A"/>
    <w:rsid w:val="007A2B64"/>
    <w:rsid w:val="007A6363"/>
    <w:rsid w:val="007A7851"/>
    <w:rsid w:val="007B25E3"/>
    <w:rsid w:val="007B3176"/>
    <w:rsid w:val="007B46F5"/>
    <w:rsid w:val="007B5CB4"/>
    <w:rsid w:val="007B6A4C"/>
    <w:rsid w:val="007C0ABC"/>
    <w:rsid w:val="007C4F11"/>
    <w:rsid w:val="007C653E"/>
    <w:rsid w:val="007C6DEC"/>
    <w:rsid w:val="007D4532"/>
    <w:rsid w:val="007D4EC8"/>
    <w:rsid w:val="007E3915"/>
    <w:rsid w:val="007E3A18"/>
    <w:rsid w:val="007E702A"/>
    <w:rsid w:val="007F037D"/>
    <w:rsid w:val="007F2AFD"/>
    <w:rsid w:val="007F793B"/>
    <w:rsid w:val="00800FA0"/>
    <w:rsid w:val="0080314F"/>
    <w:rsid w:val="0081425C"/>
    <w:rsid w:val="008201F0"/>
    <w:rsid w:val="00826A80"/>
    <w:rsid w:val="00833F10"/>
    <w:rsid w:val="00834525"/>
    <w:rsid w:val="00834BD6"/>
    <w:rsid w:val="00840A5F"/>
    <w:rsid w:val="008423BE"/>
    <w:rsid w:val="00843621"/>
    <w:rsid w:val="008531BB"/>
    <w:rsid w:val="00861BE9"/>
    <w:rsid w:val="00862CE1"/>
    <w:rsid w:val="00876DB1"/>
    <w:rsid w:val="008773E8"/>
    <w:rsid w:val="00877FCD"/>
    <w:rsid w:val="00882D8B"/>
    <w:rsid w:val="00887D35"/>
    <w:rsid w:val="008932B7"/>
    <w:rsid w:val="008939AB"/>
    <w:rsid w:val="008A2AA7"/>
    <w:rsid w:val="008A34F9"/>
    <w:rsid w:val="008A44E2"/>
    <w:rsid w:val="008A53EF"/>
    <w:rsid w:val="008B0E02"/>
    <w:rsid w:val="008B4299"/>
    <w:rsid w:val="008C6588"/>
    <w:rsid w:val="008C6AAF"/>
    <w:rsid w:val="008D2650"/>
    <w:rsid w:val="008D3487"/>
    <w:rsid w:val="008D5BE0"/>
    <w:rsid w:val="008D6B52"/>
    <w:rsid w:val="008E0B92"/>
    <w:rsid w:val="008E0F95"/>
    <w:rsid w:val="008E29D4"/>
    <w:rsid w:val="008F0FAA"/>
    <w:rsid w:val="008F17C1"/>
    <w:rsid w:val="008F393B"/>
    <w:rsid w:val="008F54AB"/>
    <w:rsid w:val="008F59D1"/>
    <w:rsid w:val="00903221"/>
    <w:rsid w:val="00911D27"/>
    <w:rsid w:val="00911E02"/>
    <w:rsid w:val="00914173"/>
    <w:rsid w:val="009141C9"/>
    <w:rsid w:val="00914FBD"/>
    <w:rsid w:val="00915BA3"/>
    <w:rsid w:val="00916C80"/>
    <w:rsid w:val="00917D74"/>
    <w:rsid w:val="00923EF2"/>
    <w:rsid w:val="009326CA"/>
    <w:rsid w:val="0093659E"/>
    <w:rsid w:val="0094308E"/>
    <w:rsid w:val="00944E9E"/>
    <w:rsid w:val="0094570A"/>
    <w:rsid w:val="0094725B"/>
    <w:rsid w:val="00947F68"/>
    <w:rsid w:val="00955322"/>
    <w:rsid w:val="009601A1"/>
    <w:rsid w:val="00967D9B"/>
    <w:rsid w:val="00971B36"/>
    <w:rsid w:val="0097341E"/>
    <w:rsid w:val="00973590"/>
    <w:rsid w:val="00974245"/>
    <w:rsid w:val="00975AF6"/>
    <w:rsid w:val="0098116F"/>
    <w:rsid w:val="00986DF7"/>
    <w:rsid w:val="00987E52"/>
    <w:rsid w:val="00994848"/>
    <w:rsid w:val="00994DDC"/>
    <w:rsid w:val="00995577"/>
    <w:rsid w:val="009A0BE2"/>
    <w:rsid w:val="009A220E"/>
    <w:rsid w:val="009A3AC0"/>
    <w:rsid w:val="009A5186"/>
    <w:rsid w:val="009B2E27"/>
    <w:rsid w:val="009C49EF"/>
    <w:rsid w:val="009C64FC"/>
    <w:rsid w:val="009D5E94"/>
    <w:rsid w:val="009E0709"/>
    <w:rsid w:val="009E1F12"/>
    <w:rsid w:val="009E61E3"/>
    <w:rsid w:val="009E676D"/>
    <w:rsid w:val="009E71FB"/>
    <w:rsid w:val="009F1994"/>
    <w:rsid w:val="00A00814"/>
    <w:rsid w:val="00A01C4D"/>
    <w:rsid w:val="00A0237B"/>
    <w:rsid w:val="00A023A6"/>
    <w:rsid w:val="00A03537"/>
    <w:rsid w:val="00A05199"/>
    <w:rsid w:val="00A07542"/>
    <w:rsid w:val="00A30E8E"/>
    <w:rsid w:val="00A3108A"/>
    <w:rsid w:val="00A32AFD"/>
    <w:rsid w:val="00A3439E"/>
    <w:rsid w:val="00A34AB4"/>
    <w:rsid w:val="00A34C54"/>
    <w:rsid w:val="00A34EFB"/>
    <w:rsid w:val="00A34F40"/>
    <w:rsid w:val="00A4144F"/>
    <w:rsid w:val="00A4426A"/>
    <w:rsid w:val="00A44C4B"/>
    <w:rsid w:val="00A47319"/>
    <w:rsid w:val="00A61B3F"/>
    <w:rsid w:val="00A6712D"/>
    <w:rsid w:val="00A70734"/>
    <w:rsid w:val="00A724D4"/>
    <w:rsid w:val="00A728AF"/>
    <w:rsid w:val="00A761FF"/>
    <w:rsid w:val="00A7646E"/>
    <w:rsid w:val="00A82E86"/>
    <w:rsid w:val="00A84604"/>
    <w:rsid w:val="00A84788"/>
    <w:rsid w:val="00A87C80"/>
    <w:rsid w:val="00A938D3"/>
    <w:rsid w:val="00AA2973"/>
    <w:rsid w:val="00AA51C6"/>
    <w:rsid w:val="00AA666F"/>
    <w:rsid w:val="00AB5013"/>
    <w:rsid w:val="00AB6350"/>
    <w:rsid w:val="00AB758C"/>
    <w:rsid w:val="00AC1969"/>
    <w:rsid w:val="00AC3DDD"/>
    <w:rsid w:val="00AD0177"/>
    <w:rsid w:val="00AD3C38"/>
    <w:rsid w:val="00AD7D9C"/>
    <w:rsid w:val="00AE194A"/>
    <w:rsid w:val="00AE693B"/>
    <w:rsid w:val="00AF59CA"/>
    <w:rsid w:val="00B03093"/>
    <w:rsid w:val="00B05B03"/>
    <w:rsid w:val="00B12C8C"/>
    <w:rsid w:val="00B133A4"/>
    <w:rsid w:val="00B13F18"/>
    <w:rsid w:val="00B20E76"/>
    <w:rsid w:val="00B338EA"/>
    <w:rsid w:val="00B3640B"/>
    <w:rsid w:val="00B4353B"/>
    <w:rsid w:val="00B442CF"/>
    <w:rsid w:val="00B46857"/>
    <w:rsid w:val="00B51BF4"/>
    <w:rsid w:val="00B57D37"/>
    <w:rsid w:val="00B62FDA"/>
    <w:rsid w:val="00B640F9"/>
    <w:rsid w:val="00B70D41"/>
    <w:rsid w:val="00B75A8B"/>
    <w:rsid w:val="00B82FCA"/>
    <w:rsid w:val="00B84986"/>
    <w:rsid w:val="00B851E1"/>
    <w:rsid w:val="00B86F75"/>
    <w:rsid w:val="00B93862"/>
    <w:rsid w:val="00B95849"/>
    <w:rsid w:val="00B97AA5"/>
    <w:rsid w:val="00BA0F1C"/>
    <w:rsid w:val="00BA432C"/>
    <w:rsid w:val="00BA650C"/>
    <w:rsid w:val="00BB037D"/>
    <w:rsid w:val="00BC4F28"/>
    <w:rsid w:val="00BC6F98"/>
    <w:rsid w:val="00BD0C65"/>
    <w:rsid w:val="00BD1125"/>
    <w:rsid w:val="00BD1655"/>
    <w:rsid w:val="00BE060E"/>
    <w:rsid w:val="00BE1815"/>
    <w:rsid w:val="00BE1B13"/>
    <w:rsid w:val="00BE364D"/>
    <w:rsid w:val="00BE6EE6"/>
    <w:rsid w:val="00BE7412"/>
    <w:rsid w:val="00BF09C2"/>
    <w:rsid w:val="00BF1911"/>
    <w:rsid w:val="00BF3550"/>
    <w:rsid w:val="00BF35D9"/>
    <w:rsid w:val="00BF643B"/>
    <w:rsid w:val="00BF682D"/>
    <w:rsid w:val="00C01623"/>
    <w:rsid w:val="00C02124"/>
    <w:rsid w:val="00C10704"/>
    <w:rsid w:val="00C1128A"/>
    <w:rsid w:val="00C11798"/>
    <w:rsid w:val="00C15E2F"/>
    <w:rsid w:val="00C202F3"/>
    <w:rsid w:val="00C203C6"/>
    <w:rsid w:val="00C208D8"/>
    <w:rsid w:val="00C22CCE"/>
    <w:rsid w:val="00C3195C"/>
    <w:rsid w:val="00C32461"/>
    <w:rsid w:val="00C33743"/>
    <w:rsid w:val="00C4168B"/>
    <w:rsid w:val="00C428F0"/>
    <w:rsid w:val="00C44282"/>
    <w:rsid w:val="00C52E1D"/>
    <w:rsid w:val="00C54473"/>
    <w:rsid w:val="00C56880"/>
    <w:rsid w:val="00C6014E"/>
    <w:rsid w:val="00C63660"/>
    <w:rsid w:val="00C76C07"/>
    <w:rsid w:val="00C803E8"/>
    <w:rsid w:val="00C81CBC"/>
    <w:rsid w:val="00C820BE"/>
    <w:rsid w:val="00C8341C"/>
    <w:rsid w:val="00C8376E"/>
    <w:rsid w:val="00C93C35"/>
    <w:rsid w:val="00C9552A"/>
    <w:rsid w:val="00CA5C52"/>
    <w:rsid w:val="00CA6CDF"/>
    <w:rsid w:val="00CA74BB"/>
    <w:rsid w:val="00CB110E"/>
    <w:rsid w:val="00CB14B4"/>
    <w:rsid w:val="00CB7834"/>
    <w:rsid w:val="00CC1131"/>
    <w:rsid w:val="00CC7F2F"/>
    <w:rsid w:val="00CD2010"/>
    <w:rsid w:val="00CD3008"/>
    <w:rsid w:val="00CD5C7A"/>
    <w:rsid w:val="00CE36E4"/>
    <w:rsid w:val="00CE3716"/>
    <w:rsid w:val="00CF21C7"/>
    <w:rsid w:val="00CF2209"/>
    <w:rsid w:val="00CF47AE"/>
    <w:rsid w:val="00CF7C2E"/>
    <w:rsid w:val="00D01A31"/>
    <w:rsid w:val="00D022E4"/>
    <w:rsid w:val="00D03402"/>
    <w:rsid w:val="00D0526E"/>
    <w:rsid w:val="00D05773"/>
    <w:rsid w:val="00D05C08"/>
    <w:rsid w:val="00D07974"/>
    <w:rsid w:val="00D1201C"/>
    <w:rsid w:val="00D150F7"/>
    <w:rsid w:val="00D2029B"/>
    <w:rsid w:val="00D22C03"/>
    <w:rsid w:val="00D30978"/>
    <w:rsid w:val="00D35523"/>
    <w:rsid w:val="00D356B3"/>
    <w:rsid w:val="00D365C3"/>
    <w:rsid w:val="00D40547"/>
    <w:rsid w:val="00D4070F"/>
    <w:rsid w:val="00D4493E"/>
    <w:rsid w:val="00D51678"/>
    <w:rsid w:val="00D523F0"/>
    <w:rsid w:val="00D5430A"/>
    <w:rsid w:val="00D55A98"/>
    <w:rsid w:val="00D55E0C"/>
    <w:rsid w:val="00D567FB"/>
    <w:rsid w:val="00D57762"/>
    <w:rsid w:val="00D6185E"/>
    <w:rsid w:val="00D64EE7"/>
    <w:rsid w:val="00D66657"/>
    <w:rsid w:val="00D70E8D"/>
    <w:rsid w:val="00D87CF6"/>
    <w:rsid w:val="00D87FFA"/>
    <w:rsid w:val="00D9099D"/>
    <w:rsid w:val="00D91919"/>
    <w:rsid w:val="00DB2249"/>
    <w:rsid w:val="00DF7A2E"/>
    <w:rsid w:val="00E02269"/>
    <w:rsid w:val="00E04854"/>
    <w:rsid w:val="00E123DF"/>
    <w:rsid w:val="00E179A5"/>
    <w:rsid w:val="00E17D43"/>
    <w:rsid w:val="00E239E3"/>
    <w:rsid w:val="00E27E45"/>
    <w:rsid w:val="00E44D92"/>
    <w:rsid w:val="00E46D9F"/>
    <w:rsid w:val="00E566E3"/>
    <w:rsid w:val="00E6043A"/>
    <w:rsid w:val="00E67249"/>
    <w:rsid w:val="00E71392"/>
    <w:rsid w:val="00E72F20"/>
    <w:rsid w:val="00E7302E"/>
    <w:rsid w:val="00E73996"/>
    <w:rsid w:val="00E760C6"/>
    <w:rsid w:val="00E80CD1"/>
    <w:rsid w:val="00E80DEE"/>
    <w:rsid w:val="00E83500"/>
    <w:rsid w:val="00E839B0"/>
    <w:rsid w:val="00E91167"/>
    <w:rsid w:val="00E94FE0"/>
    <w:rsid w:val="00EA53EA"/>
    <w:rsid w:val="00EA6D32"/>
    <w:rsid w:val="00EB1D0B"/>
    <w:rsid w:val="00EB7F02"/>
    <w:rsid w:val="00EC3528"/>
    <w:rsid w:val="00EC4891"/>
    <w:rsid w:val="00EC713D"/>
    <w:rsid w:val="00EE0221"/>
    <w:rsid w:val="00EE42E3"/>
    <w:rsid w:val="00EF119F"/>
    <w:rsid w:val="00EF73DE"/>
    <w:rsid w:val="00EF753B"/>
    <w:rsid w:val="00F0038A"/>
    <w:rsid w:val="00F02CFB"/>
    <w:rsid w:val="00F0759E"/>
    <w:rsid w:val="00F077E9"/>
    <w:rsid w:val="00F11613"/>
    <w:rsid w:val="00F117D5"/>
    <w:rsid w:val="00F11876"/>
    <w:rsid w:val="00F14C52"/>
    <w:rsid w:val="00F21739"/>
    <w:rsid w:val="00F2298B"/>
    <w:rsid w:val="00F25AAA"/>
    <w:rsid w:val="00F305EF"/>
    <w:rsid w:val="00F3087B"/>
    <w:rsid w:val="00F32637"/>
    <w:rsid w:val="00F337E0"/>
    <w:rsid w:val="00F3685C"/>
    <w:rsid w:val="00F37DD1"/>
    <w:rsid w:val="00F4156F"/>
    <w:rsid w:val="00F41C37"/>
    <w:rsid w:val="00F443C4"/>
    <w:rsid w:val="00F47AD1"/>
    <w:rsid w:val="00F5179E"/>
    <w:rsid w:val="00F55856"/>
    <w:rsid w:val="00F562B8"/>
    <w:rsid w:val="00F6597B"/>
    <w:rsid w:val="00F6643A"/>
    <w:rsid w:val="00F67D62"/>
    <w:rsid w:val="00F74CB6"/>
    <w:rsid w:val="00F75120"/>
    <w:rsid w:val="00F822DB"/>
    <w:rsid w:val="00F94B02"/>
    <w:rsid w:val="00F95BCD"/>
    <w:rsid w:val="00F96E44"/>
    <w:rsid w:val="00F976A6"/>
    <w:rsid w:val="00F979D1"/>
    <w:rsid w:val="00FA6C68"/>
    <w:rsid w:val="00FB2BA4"/>
    <w:rsid w:val="00FB430E"/>
    <w:rsid w:val="00FB6176"/>
    <w:rsid w:val="00FB7C1C"/>
    <w:rsid w:val="00FC2CC2"/>
    <w:rsid w:val="00FC618B"/>
    <w:rsid w:val="00FD2F76"/>
    <w:rsid w:val="00FD3F3E"/>
    <w:rsid w:val="00FD54D4"/>
    <w:rsid w:val="00FD7334"/>
    <w:rsid w:val="00FE0115"/>
    <w:rsid w:val="00FE079B"/>
    <w:rsid w:val="00FE2267"/>
    <w:rsid w:val="00FE3F9C"/>
    <w:rsid w:val="00FE6474"/>
    <w:rsid w:val="00FF28BE"/>
    <w:rsid w:val="00FF6095"/>
    <w:rsid w:val="5499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5D1642A"/>
  <w15:chartTrackingRefBased/>
  <w15:docId w15:val="{043E037B-1942-4968-855F-6AC640460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17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1 Bulleted List,Summary Bullets,Footer Setting,Bullet List,FooterText,List Paragraph1,numbered,Paragraphe de liste1,Bulletr List Paragraph,列出段落,列出段落1,List Paragraph2,List Paragraph21,Párrafo de lista1,Parágrafo da Lista1,リスト段落1"/>
    <w:basedOn w:val="Normal"/>
    <w:uiPriority w:val="34"/>
    <w:qFormat/>
    <w:rsid w:val="00A938D3"/>
    <w:pPr>
      <w:spacing w:after="200" w:line="276" w:lineRule="auto"/>
      <w:ind w:left="720"/>
      <w:contextualSpacing/>
    </w:pPr>
    <w:rPr>
      <w:rFonts w:eastAsia="SimSun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642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4242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642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4242"/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9F19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19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1994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19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1994"/>
    <w:rPr>
      <w:rFonts w:ascii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6543F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F979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79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6E39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A72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swissmedicinfo.ch" TargetMode="External"/><Relationship Id="rId18" Type="http://schemas.openxmlformats.org/officeDocument/2006/relationships/hyperlink" Target="http://www.astrazeneca.ch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swissmedicinfo.ch/Accept.aspx?ReturnUrl=%2f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swissmedicinfo.ch/showText.aspx?textType=FI&amp;lang=DE&amp;authNr=68706&amp;supportMultipleResults=1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hyperlink" Target="https://www.swissmedicinfo.ch/ViewMonographie#section1" TargetMode="External"/><Relationship Id="rId23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esmo.org/guidelines/esmo-mcbs/esmo-mcbs-for-solid-tumours/esmo-mcbs-scorecards/scorecard-358-1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921D8C2A441489577DE371C1E3080" ma:contentTypeVersion="20" ma:contentTypeDescription="Create a new document." ma:contentTypeScope="" ma:versionID="df14d7104f4f691eb326ebdbda93e78d">
  <xsd:schema xmlns:xsd="http://www.w3.org/2001/XMLSchema" xmlns:xs="http://www.w3.org/2001/XMLSchema" xmlns:p="http://schemas.microsoft.com/office/2006/metadata/properties" xmlns:ns2="44a56295-c29e-4898-8136-a54736c65b82" xmlns:ns3="21928201-840e-40f5-a6ff-12effcc015a5" xmlns:ns4="ef439064-d120-4eea-8544-947ffa937be7" targetNamespace="http://schemas.microsoft.com/office/2006/metadata/properties" ma:root="true" ma:fieldsID="3290b29ff25e8741137d49a8818c7050" ns2:_="" ns3:_="" ns4:_="">
    <xsd:import namespace="44a56295-c29e-4898-8136-a54736c65b82"/>
    <xsd:import namespace="21928201-840e-40f5-a6ff-12effcc015a5"/>
    <xsd:import namespace="ef439064-d120-4eea-8544-947ffa937be7"/>
    <xsd:element name="properties">
      <xsd:complexType>
        <xsd:sequence>
          <xsd:element name="documentManagement">
            <xsd:complexType>
              <xsd:all>
                <xsd:element ref="ns2:Descriptions" minOccurs="0"/>
                <xsd:element ref="ns2:Keywor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56295-c29e-4898-8136-a54736c65b82" elementFormDefault="qualified">
    <xsd:import namespace="http://schemas.microsoft.com/office/2006/documentManagement/types"/>
    <xsd:import namespace="http://schemas.microsoft.com/office/infopath/2007/PartnerControls"/>
    <xsd:element name="Descriptions" ma:index="8" nillable="true" ma:displayName="Descriptions" ma:description="Describe your document to make it appear at the top of search results" ma:internalName="Descriptions">
      <xsd:simpleType>
        <xsd:restriction base="dms:Note">
          <xsd:maxLength value="255"/>
        </xsd:restriction>
      </xsd:simpleType>
    </xsd:element>
    <xsd:element name="Keyword" ma:index="9" nillable="true" ma:displayName="Keyword" ma:description="Enter list of terms separated by semi-colon(;)" ma:internalName="Keyword">
      <xsd:simpleType>
        <xsd:restriction base="dms:Text">
          <xsd:maxLength value="255"/>
        </xsd:restriction>
      </xsd:simpleType>
    </xsd:element>
    <xsd:element name="TaxCatchAll" ma:index="25" nillable="true" ma:displayName="Taxonomy Catch All Column" ma:hidden="true" ma:list="{8eb3872e-3db9-441a-9388-e55d17c3066d}" ma:internalName="TaxCatchAll" ma:showField="CatchAllData" ma:web="ef439064-d120-4eea-8544-947ffa937b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28201-840e-40f5-a6ff-12effcc015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ee89e71-04cd-405e-9ca3-99e020c1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39064-d120-4eea-8544-947ffa937be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ee89e71-04cd-405e-9ca3-99e020c1694d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eyword xmlns="44a56295-c29e-4898-8136-a54736c65b82" xsi:nil="true"/>
    <lcf76f155ced4ddcb4097134ff3c332f xmlns="21928201-840e-40f5-a6ff-12effcc015a5">
      <Terms xmlns="http://schemas.microsoft.com/office/infopath/2007/PartnerControls"/>
    </lcf76f155ced4ddcb4097134ff3c332f>
    <TaxCatchAll xmlns="44a56295-c29e-4898-8136-a54736c65b82" xsi:nil="true"/>
    <Descriptions xmlns="44a56295-c29e-4898-8136-a54736c65b82" xsi:nil="true"/>
  </documentManagement>
</p:properties>
</file>

<file path=customXml/itemProps1.xml><?xml version="1.0" encoding="utf-8"?>
<ds:datastoreItem xmlns:ds="http://schemas.openxmlformats.org/officeDocument/2006/customXml" ds:itemID="{7AC0F570-BD9C-4FA4-8450-0F91EE0A08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51E057-1CD1-4FB5-975F-CFA4A018A7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a56295-c29e-4898-8136-a54736c65b82"/>
    <ds:schemaRef ds:uri="21928201-840e-40f5-a6ff-12effcc015a5"/>
    <ds:schemaRef ds:uri="ef439064-d120-4eea-8544-947ffa937b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302C01-F392-40DF-9DBF-68D03C683E6E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0FBCFED-6371-468B-A5A6-536F0BAA3E4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90DFC02-D0A3-4480-B151-0FCAD3445B48}">
  <ds:schemaRefs>
    <ds:schemaRef ds:uri="http://schemas.microsoft.com/office/2006/metadata/properties"/>
    <ds:schemaRef ds:uri="http://schemas.microsoft.com/office/infopath/2007/PartnerControls"/>
    <ds:schemaRef ds:uri="44a56295-c29e-4898-8136-a54736c65b82"/>
    <ds:schemaRef ds:uri="21928201-840e-40f5-a6ff-12effcc015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1090</Words>
  <Characters>6871</Characters>
  <Application>Microsoft Office Word</Application>
  <DocSecurity>0</DocSecurity>
  <Lines>57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Karan, Sanja</dc:creator>
  <cp:keywords/>
  <dc:description/>
  <cp:lastModifiedBy>Peschke, Benjamin</cp:lastModifiedBy>
  <cp:revision>26</cp:revision>
  <dcterms:created xsi:type="dcterms:W3CDTF">2024-07-15T16:20:00Z</dcterms:created>
  <dcterms:modified xsi:type="dcterms:W3CDTF">2024-07-16T12:01:00Z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0x010100D98921D8C2A441489577DE371C1E3080</vt:lpwstr>
  </property>
  <property fmtid="{D5CDD505-2E9C-101B-9397-08002B2CF9AE}" pid="3" name="MediaServiceImageTags">
    <vt:lpwstr/>
  </property>
</Properties>
</file>