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7D4C" w14:textId="77777777" w:rsidR="005F3CB4" w:rsidRDefault="005F3CB4" w:rsidP="001A06ED">
      <w:pPr>
        <w:jc w:val="both"/>
        <w:rPr>
          <w:rFonts w:ascii="Verdana" w:hAnsi="Verdana"/>
          <w:b/>
          <w:bCs/>
          <w:lang w:val="fr-FR"/>
        </w:rPr>
      </w:pPr>
    </w:p>
    <w:p w14:paraId="3CF312A7" w14:textId="092D5FEF" w:rsidR="00ED5C16" w:rsidRPr="004F3C82" w:rsidRDefault="000F7A1A" w:rsidP="00ED5C16">
      <w:pPr>
        <w:jc w:val="both"/>
        <w:rPr>
          <w:rFonts w:ascii="Verdana" w:hAnsi="Verdana"/>
          <w:lang w:val="fr-FR"/>
        </w:rPr>
      </w:pPr>
      <w:r w:rsidRPr="004F3C82">
        <w:rPr>
          <w:rFonts w:ascii="Verdana" w:hAnsi="Verdana"/>
          <w:highlight w:val="yellow"/>
          <w:lang w:val="fr-FR"/>
        </w:rPr>
        <w:t>Informations personnelles</w:t>
      </w:r>
    </w:p>
    <w:p w14:paraId="76FB1AC4" w14:textId="77777777" w:rsidR="00A9365F" w:rsidRPr="004F3C82" w:rsidRDefault="00A9365F" w:rsidP="001A06ED">
      <w:pPr>
        <w:jc w:val="both"/>
        <w:rPr>
          <w:rFonts w:ascii="Verdana" w:hAnsi="Verdana"/>
          <w:lang w:val="fr-FR"/>
        </w:rPr>
      </w:pPr>
      <w:r w:rsidRPr="004F3C82">
        <w:rPr>
          <w:rFonts w:ascii="Verdana" w:hAnsi="Verdana"/>
          <w:lang w:val="fr-FR"/>
        </w:rPr>
        <w:tab/>
      </w:r>
    </w:p>
    <w:p w14:paraId="7AC0F2EE" w14:textId="6E6CFD5A" w:rsidR="0013483E" w:rsidRPr="004F3C82" w:rsidRDefault="00A9365F" w:rsidP="001A06ED">
      <w:pPr>
        <w:jc w:val="both"/>
        <w:rPr>
          <w:rFonts w:ascii="Verdana" w:hAnsi="Verdana"/>
          <w:lang w:val="fr-FR"/>
        </w:rPr>
      </w:pPr>
      <w:r w:rsidRPr="004F3C82">
        <w:rPr>
          <w:rFonts w:ascii="Verdana" w:hAnsi="Verdana"/>
          <w:lang w:val="fr-FR"/>
        </w:rPr>
        <w:tab/>
      </w:r>
      <w:r w:rsidRPr="004F3C82">
        <w:rPr>
          <w:rFonts w:ascii="Verdana" w:hAnsi="Verdana"/>
          <w:lang w:val="fr-FR"/>
        </w:rPr>
        <w:tab/>
      </w:r>
      <w:r w:rsidRPr="004F3C82">
        <w:rPr>
          <w:rFonts w:ascii="Verdana" w:hAnsi="Verdana"/>
          <w:lang w:val="fr-FR"/>
        </w:rPr>
        <w:tab/>
      </w:r>
      <w:r w:rsidRPr="004F3C82">
        <w:rPr>
          <w:rFonts w:ascii="Verdana" w:hAnsi="Verdana"/>
          <w:lang w:val="fr-FR"/>
        </w:rPr>
        <w:tab/>
      </w:r>
      <w:r w:rsidR="00277125" w:rsidRPr="004F3C82">
        <w:rPr>
          <w:rFonts w:ascii="Verdana" w:hAnsi="Verdana"/>
          <w:lang w:val="fr-FR"/>
        </w:rPr>
        <w:t xml:space="preserve"> </w:t>
      </w:r>
      <w:r w:rsidRPr="004F3C82">
        <w:rPr>
          <w:rFonts w:ascii="Verdana" w:hAnsi="Verdana"/>
          <w:highlight w:val="yellow"/>
          <w:lang w:val="fr-FR"/>
        </w:rPr>
        <w:t>Numéro de téléphone médecin adjoint/chef de clinique</w:t>
      </w:r>
      <w:r w:rsidR="00ED5C16" w:rsidRPr="004F3C82">
        <w:rPr>
          <w:rFonts w:ascii="Verdana" w:hAnsi="Verdana"/>
          <w:lang w:val="fr-FR"/>
        </w:rPr>
        <w:t xml:space="preserve"> </w:t>
      </w:r>
    </w:p>
    <w:p w14:paraId="0D9F20E4" w14:textId="57940F6C" w:rsidR="00BF08F2" w:rsidRPr="003C6633" w:rsidRDefault="008415DD" w:rsidP="001A06ED">
      <w:pPr>
        <w:jc w:val="both"/>
        <w:rPr>
          <w:rFonts w:ascii="Verdana" w:hAnsi="Verdana"/>
          <w:b/>
          <w:bCs/>
          <w:lang w:val="fr-FR"/>
        </w:rPr>
      </w:pPr>
      <w:r w:rsidRPr="00A87C80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F7620" wp14:editId="3D39AEF8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377440" cy="1022350"/>
                <wp:effectExtent l="0" t="0" r="0" b="635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7BEE" w14:textId="77777777" w:rsidR="008272CD" w:rsidRPr="004F3C82" w:rsidRDefault="008272CD" w:rsidP="008272CD">
                            <w:pPr>
                              <w:rPr>
                                <w:rFonts w:ascii="Verdana" w:hAnsi="Verdana"/>
                                <w:highlight w:val="yellow"/>
                                <w:lang w:val="fr-FR"/>
                              </w:rPr>
                            </w:pPr>
                            <w:r w:rsidRPr="004F3C82">
                              <w:rPr>
                                <w:rFonts w:ascii="Verdana" w:hAnsi="Verdana"/>
                                <w:highlight w:val="yellow"/>
                                <w:lang w:val="fr-FR"/>
                              </w:rPr>
                              <w:t>Informations caisse maladie</w:t>
                            </w:r>
                          </w:p>
                          <w:p w14:paraId="0FB08A49" w14:textId="3B9B4C1A" w:rsidR="00ED5C16" w:rsidRPr="004F3C82" w:rsidRDefault="008272CD" w:rsidP="008272CD">
                            <w:pPr>
                              <w:rPr>
                                <w:rFonts w:ascii="Verdana" w:hAnsi="Verdana"/>
                                <w:lang w:val="fr-FR"/>
                              </w:rPr>
                            </w:pPr>
                            <w:r w:rsidRPr="004F3C82">
                              <w:rPr>
                                <w:rFonts w:ascii="Verdana" w:hAnsi="Verdana"/>
                                <w:highlight w:val="yellow"/>
                                <w:lang w:val="fr-FR"/>
                              </w:rPr>
                              <w:t>Service de médecins-conseils</w:t>
                            </w:r>
                          </w:p>
                          <w:p w14:paraId="216E3B95" w14:textId="77777777" w:rsidR="008272CD" w:rsidRPr="004F3C82" w:rsidRDefault="008272CD" w:rsidP="008272CD">
                            <w:pPr>
                              <w:rPr>
                                <w:rFonts w:ascii="Verdana" w:hAnsi="Verdana"/>
                                <w:lang w:val="fr-FR"/>
                              </w:rPr>
                            </w:pPr>
                          </w:p>
                          <w:p w14:paraId="5056463B" w14:textId="77777777" w:rsidR="008272CD" w:rsidRPr="004F3C82" w:rsidRDefault="008272CD" w:rsidP="008272CD">
                            <w:pPr>
                              <w:rPr>
                                <w:rFonts w:ascii="Verdana" w:hAnsi="Verdana"/>
                                <w:lang w:val="fr-FR"/>
                              </w:rPr>
                            </w:pPr>
                          </w:p>
                          <w:p w14:paraId="02B5BFDB" w14:textId="32E8F37D" w:rsidR="00ED5C16" w:rsidRPr="00123B93" w:rsidRDefault="00960CA8" w:rsidP="00ED5C16">
                            <w:pPr>
                              <w:rPr>
                                <w:rFonts w:ascii="Verdana" w:hAnsi="Verdana"/>
                                <w:lang w:val="fr-FR"/>
                              </w:rPr>
                            </w:pPr>
                            <w:r w:rsidRPr="00123B93">
                              <w:rPr>
                                <w:rFonts w:ascii="Verdana" w:hAnsi="Verdana"/>
                                <w:noProof/>
                                <w:highlight w:val="yellow"/>
                                <w:lang w:val="fr-FR"/>
                              </w:rPr>
                              <w:t>Lieu, Date</w:t>
                            </w:r>
                          </w:p>
                          <w:p w14:paraId="0B6D5A0F" w14:textId="77777777" w:rsidR="00ED5C16" w:rsidRPr="00123B93" w:rsidRDefault="00ED5C16" w:rsidP="00ED5C16">
                            <w:pPr>
                              <w:rPr>
                                <w:rFonts w:ascii="Verdana" w:hAnsi="Verdana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F76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6.5pt;width:187.2pt;height:80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" stroked="f">
                <v:textbox>
                  <w:txbxContent>
                    <w:p w14:paraId="6E2C7BEE" w14:textId="77777777" w:rsidR="008272CD" w:rsidRPr="004F3C82" w:rsidRDefault="008272CD" w:rsidP="008272CD">
                      <w:pPr>
                        <w:rPr>
                          <w:rFonts w:ascii="Verdana" w:hAnsi="Verdana"/>
                          <w:highlight w:val="yellow"/>
                          <w:lang w:val="fr-FR"/>
                        </w:rPr>
                      </w:pPr>
                      <w:r w:rsidRPr="004F3C82">
                        <w:rPr>
                          <w:rFonts w:ascii="Verdana" w:hAnsi="Verdana"/>
                          <w:highlight w:val="yellow"/>
                          <w:lang w:val="fr-FR"/>
                        </w:rPr>
                        <w:t>Informations caisse maladie</w:t>
                      </w:r>
                    </w:p>
                    <w:p w14:paraId="0FB08A49" w14:textId="3B9B4C1A" w:rsidR="00ED5C16" w:rsidRPr="004F3C82" w:rsidRDefault="008272CD" w:rsidP="008272CD">
                      <w:pPr>
                        <w:rPr>
                          <w:rFonts w:ascii="Verdana" w:hAnsi="Verdana"/>
                          <w:lang w:val="fr-FR"/>
                        </w:rPr>
                      </w:pPr>
                      <w:r w:rsidRPr="004F3C82">
                        <w:rPr>
                          <w:rFonts w:ascii="Verdana" w:hAnsi="Verdana"/>
                          <w:highlight w:val="yellow"/>
                          <w:lang w:val="fr-FR"/>
                        </w:rPr>
                        <w:t>Service de médecins-conseils</w:t>
                      </w:r>
                    </w:p>
                    <w:p w14:paraId="216E3B95" w14:textId="77777777" w:rsidR="008272CD" w:rsidRPr="004F3C82" w:rsidRDefault="008272CD" w:rsidP="008272CD">
                      <w:pPr>
                        <w:rPr>
                          <w:rFonts w:ascii="Verdana" w:hAnsi="Verdana"/>
                          <w:lang w:val="fr-FR"/>
                        </w:rPr>
                      </w:pPr>
                    </w:p>
                    <w:p w14:paraId="5056463B" w14:textId="77777777" w:rsidR="008272CD" w:rsidRPr="004F3C82" w:rsidRDefault="008272CD" w:rsidP="008272CD">
                      <w:pPr>
                        <w:rPr>
                          <w:rFonts w:ascii="Verdana" w:hAnsi="Verdana"/>
                          <w:lang w:val="fr-FR"/>
                        </w:rPr>
                      </w:pPr>
                    </w:p>
                    <w:p w14:paraId="02B5BFDB" w14:textId="32E8F37D" w:rsidR="00ED5C16" w:rsidRPr="00123B93" w:rsidRDefault="00960CA8" w:rsidP="00ED5C16">
                      <w:pPr>
                        <w:rPr>
                          <w:rFonts w:ascii="Verdana" w:hAnsi="Verdana"/>
                          <w:lang w:val="fr-FR"/>
                        </w:rPr>
                      </w:pPr>
                      <w:r w:rsidRPr="00123B93">
                        <w:rPr>
                          <w:rFonts w:ascii="Verdana" w:hAnsi="Verdana"/>
                          <w:noProof/>
                          <w:highlight w:val="yellow"/>
                          <w:lang w:val="fr-FR"/>
                        </w:rPr>
                        <w:t>Lieu, Date</w:t>
                      </w:r>
                    </w:p>
                    <w:p w14:paraId="0B6D5A0F" w14:textId="77777777" w:rsidR="00ED5C16" w:rsidRPr="00123B93" w:rsidRDefault="00ED5C16" w:rsidP="00ED5C16">
                      <w:pPr>
                        <w:rPr>
                          <w:rFonts w:ascii="Verdana" w:hAnsi="Verdana"/>
                          <w:lang w:val="fr-F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E89E37" w14:textId="5CA696BA" w:rsidR="00AA666F" w:rsidRPr="007254AD" w:rsidRDefault="00123B93" w:rsidP="001A06ED">
      <w:pPr>
        <w:jc w:val="both"/>
        <w:rPr>
          <w:rFonts w:ascii="Verdana" w:hAnsi="Verdana" w:cstheme="minorHAnsi"/>
          <w:b/>
          <w:bCs/>
          <w:lang w:val="fr-FR"/>
        </w:rPr>
      </w:pPr>
      <w:r w:rsidRPr="0013040A">
        <w:rPr>
          <w:rFonts w:ascii="Verdana" w:hAnsi="Verdana" w:cstheme="minorHAnsi"/>
          <w:b/>
          <w:bCs/>
          <w:lang w:val="fr-FR"/>
        </w:rPr>
        <w:t>La demande d'approbation des coûts selon l'art. 71 de la KVV pour l'administration d'</w:t>
      </w:r>
      <w:proofErr w:type="spellStart"/>
      <w:r w:rsidRPr="0013040A">
        <w:rPr>
          <w:rFonts w:ascii="Verdana" w:hAnsi="Verdana" w:cstheme="minorHAnsi"/>
          <w:b/>
          <w:bCs/>
          <w:lang w:val="fr-FR"/>
        </w:rPr>
        <w:t>Imjudo</w:t>
      </w:r>
      <w:proofErr w:type="spellEnd"/>
      <w:r w:rsidRPr="0013040A">
        <w:rPr>
          <w:rFonts w:ascii="Verdana" w:hAnsi="Verdana" w:cstheme="minorHAnsi"/>
          <w:b/>
          <w:bCs/>
          <w:lang w:val="fr-FR"/>
        </w:rPr>
        <w:t xml:space="preserve">® (tremelimumab) en association avec </w:t>
      </w:r>
      <w:proofErr w:type="spellStart"/>
      <w:r w:rsidRPr="0013040A">
        <w:rPr>
          <w:rFonts w:ascii="Verdana" w:hAnsi="Verdana" w:cstheme="minorHAnsi"/>
          <w:b/>
          <w:bCs/>
          <w:lang w:val="fr-FR"/>
        </w:rPr>
        <w:t>Imfinzi</w:t>
      </w:r>
      <w:proofErr w:type="spellEnd"/>
      <w:r w:rsidRPr="0013040A">
        <w:rPr>
          <w:rFonts w:ascii="Verdana" w:hAnsi="Verdana" w:cstheme="minorHAnsi"/>
          <w:b/>
          <w:bCs/>
          <w:lang w:val="fr-FR"/>
        </w:rPr>
        <w:t>® (</w:t>
      </w:r>
      <w:proofErr w:type="spellStart"/>
      <w:r w:rsidRPr="0013040A">
        <w:rPr>
          <w:rFonts w:ascii="Verdana" w:hAnsi="Verdana" w:cstheme="minorHAnsi"/>
          <w:b/>
          <w:bCs/>
          <w:lang w:val="fr-FR"/>
        </w:rPr>
        <w:t>durvalumab</w:t>
      </w:r>
      <w:proofErr w:type="spellEnd"/>
      <w:r w:rsidRPr="0013040A">
        <w:rPr>
          <w:rFonts w:ascii="Verdana" w:hAnsi="Verdana" w:cstheme="minorHAnsi"/>
          <w:b/>
          <w:bCs/>
          <w:lang w:val="fr-FR"/>
        </w:rPr>
        <w:t xml:space="preserve">) est utilisée conformément à l'approbation de </w:t>
      </w:r>
      <w:proofErr w:type="spellStart"/>
      <w:r w:rsidRPr="0013040A">
        <w:rPr>
          <w:rFonts w:ascii="Verdana" w:hAnsi="Verdana" w:cstheme="minorHAnsi"/>
          <w:b/>
          <w:bCs/>
          <w:lang w:val="fr-FR"/>
        </w:rPr>
        <w:t>Swissmedic</w:t>
      </w:r>
      <w:proofErr w:type="spellEnd"/>
      <w:r w:rsidRPr="0013040A">
        <w:rPr>
          <w:rFonts w:ascii="Verdana" w:hAnsi="Verdana" w:cstheme="minorHAnsi"/>
          <w:b/>
          <w:bCs/>
          <w:lang w:val="fr-FR"/>
        </w:rPr>
        <w:t xml:space="preserve"> pour le traitement des patients adultes atteints d'un carcinome hépatocellulaire non résécable (</w:t>
      </w:r>
      <w:proofErr w:type="spellStart"/>
      <w:r>
        <w:rPr>
          <w:rFonts w:ascii="Verdana" w:hAnsi="Verdana" w:cstheme="minorHAnsi"/>
          <w:b/>
          <w:bCs/>
          <w:lang w:val="fr-FR"/>
        </w:rPr>
        <w:t>uHCC</w:t>
      </w:r>
      <w:proofErr w:type="spellEnd"/>
      <w:r w:rsidRPr="0013040A">
        <w:rPr>
          <w:rFonts w:ascii="Verdana" w:hAnsi="Verdana" w:cstheme="minorHAnsi"/>
          <w:b/>
          <w:bCs/>
          <w:lang w:val="fr-FR"/>
        </w:rPr>
        <w:t>) qui n’ont pas encore reçu de traitement systémique antérieur.</w:t>
      </w:r>
      <w:r w:rsidRPr="003C0C1C">
        <w:rPr>
          <w:rFonts w:ascii="Verdana" w:hAnsi="Verdana" w:cstheme="minorHAnsi"/>
          <w:b/>
          <w:bCs/>
          <w:vertAlign w:val="superscript"/>
          <w:lang w:val="fr-FR"/>
        </w:rPr>
        <w:t>1</w:t>
      </w:r>
    </w:p>
    <w:p w14:paraId="1029B787" w14:textId="77777777" w:rsidR="00123B93" w:rsidRDefault="00123B93" w:rsidP="001A06ED">
      <w:pPr>
        <w:jc w:val="both"/>
        <w:rPr>
          <w:rFonts w:ascii="Verdana" w:hAnsi="Verdana"/>
          <w:color w:val="000000"/>
          <w:lang w:val="fr-FR"/>
        </w:rPr>
      </w:pPr>
    </w:p>
    <w:p w14:paraId="695B426A" w14:textId="6FB55B43" w:rsidR="00E16D1E" w:rsidRPr="004F3C82" w:rsidRDefault="00722D15" w:rsidP="00E16D1E">
      <w:pPr>
        <w:tabs>
          <w:tab w:val="left" w:pos="950"/>
        </w:tabs>
        <w:jc w:val="both"/>
        <w:rPr>
          <w:rFonts w:ascii="Verdana" w:hAnsi="Verdana" w:cstheme="minorHAnsi"/>
          <w:lang w:val="fr-FR"/>
        </w:rPr>
      </w:pPr>
      <w:r w:rsidRPr="004F3C82">
        <w:rPr>
          <w:rFonts w:ascii="Verdana" w:hAnsi="Verdana" w:cstheme="minorHAnsi"/>
          <w:highlight w:val="yellow"/>
          <w:lang w:val="fr-FR"/>
        </w:rPr>
        <w:t>Informations concernant la patiente, numéro d’assurée</w:t>
      </w:r>
      <w:r w:rsidRPr="004F3C82">
        <w:rPr>
          <w:rFonts w:ascii="Verdana" w:hAnsi="Verdana" w:cstheme="minorHAnsi"/>
          <w:lang w:val="fr-FR"/>
        </w:rPr>
        <w:t xml:space="preserve">  </w:t>
      </w:r>
    </w:p>
    <w:p w14:paraId="0DDFC329" w14:textId="77777777" w:rsidR="00722D15" w:rsidRPr="004F3C82" w:rsidRDefault="00722D15" w:rsidP="00E16D1E">
      <w:pPr>
        <w:tabs>
          <w:tab w:val="left" w:pos="950"/>
        </w:tabs>
        <w:jc w:val="both"/>
        <w:rPr>
          <w:rFonts w:ascii="Verdana" w:hAnsi="Verdana"/>
          <w:lang w:val="fr-FR"/>
        </w:rPr>
      </w:pPr>
    </w:p>
    <w:p w14:paraId="3218B3C9" w14:textId="77777777" w:rsidR="00275A37" w:rsidRPr="004F3C82" w:rsidRDefault="00275A37" w:rsidP="00275A37">
      <w:pPr>
        <w:jc w:val="both"/>
        <w:rPr>
          <w:rFonts w:ascii="Verdana" w:hAnsi="Verdana"/>
          <w:color w:val="000000"/>
          <w:lang w:val="fr-FR"/>
        </w:rPr>
      </w:pPr>
      <w:r w:rsidRPr="004F3C82">
        <w:rPr>
          <w:rFonts w:ascii="Verdana" w:hAnsi="Verdana"/>
          <w:color w:val="000000"/>
          <w:lang w:val="fr-FR"/>
        </w:rPr>
        <w:t>Chers collègues</w:t>
      </w:r>
    </w:p>
    <w:p w14:paraId="78B5F0FC" w14:textId="77777777" w:rsidR="00275A37" w:rsidRPr="004F3C82" w:rsidRDefault="00275A37" w:rsidP="00275A37">
      <w:pPr>
        <w:jc w:val="both"/>
        <w:rPr>
          <w:rFonts w:ascii="Verdana" w:hAnsi="Verdana"/>
          <w:color w:val="000000"/>
          <w:lang w:val="fr-FR"/>
        </w:rPr>
      </w:pPr>
    </w:p>
    <w:p w14:paraId="11857842" w14:textId="0ADC94C9" w:rsidR="00E16D1E" w:rsidRPr="004F3C82" w:rsidRDefault="00275A37" w:rsidP="00275A37">
      <w:pPr>
        <w:jc w:val="both"/>
        <w:rPr>
          <w:rFonts w:ascii="Verdana" w:hAnsi="Verdana"/>
          <w:color w:val="000000"/>
          <w:lang w:val="fr-FR"/>
        </w:rPr>
      </w:pPr>
      <w:r w:rsidRPr="004F3C82">
        <w:rPr>
          <w:rFonts w:ascii="Verdana" w:hAnsi="Verdana"/>
          <w:color w:val="000000"/>
          <w:highlight w:val="yellow"/>
          <w:lang w:val="fr-FR"/>
        </w:rPr>
        <w:t>Le patient mentionné ci-dessus</w:t>
      </w:r>
      <w:r w:rsidRPr="004F3C82">
        <w:rPr>
          <w:rFonts w:ascii="Verdana" w:hAnsi="Verdana"/>
          <w:color w:val="000000"/>
          <w:lang w:val="fr-FR"/>
        </w:rPr>
        <w:t xml:space="preserve"> a reçu un diagnostic de carcinome hépatocellulaire inopérable (CUHC) le </w:t>
      </w:r>
      <w:r w:rsidRPr="004F3C82">
        <w:rPr>
          <w:rFonts w:ascii="Verdana" w:hAnsi="Verdana"/>
          <w:color w:val="000000"/>
          <w:highlight w:val="yellow"/>
          <w:lang w:val="fr-FR"/>
        </w:rPr>
        <w:t>xxx</w:t>
      </w:r>
      <w:r w:rsidRPr="004F3C82">
        <w:rPr>
          <w:rFonts w:ascii="Verdana" w:hAnsi="Verdana"/>
          <w:color w:val="000000"/>
          <w:lang w:val="fr-FR"/>
        </w:rPr>
        <w:t xml:space="preserve"> (aucun traitement systémique antérieur).</w:t>
      </w:r>
      <w:r w:rsidR="00A14558" w:rsidRPr="00A14558">
        <w:rPr>
          <w:lang w:val="fr-FR"/>
        </w:rPr>
        <w:t xml:space="preserve"> </w:t>
      </w:r>
      <w:r w:rsidR="00A14558" w:rsidRPr="00A14558">
        <w:rPr>
          <w:rFonts w:ascii="Verdana" w:hAnsi="Verdana"/>
          <w:color w:val="000000"/>
          <w:lang w:val="fr-FR"/>
        </w:rPr>
        <w:t xml:space="preserve">En raison des arguments suivants, nous demandons désormais que les frais de la thérapie par </w:t>
      </w:r>
      <w:proofErr w:type="spellStart"/>
      <w:r w:rsidR="00A14558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A14558" w:rsidRPr="00A14558">
        <w:rPr>
          <w:rFonts w:ascii="Verdana" w:hAnsi="Verdana"/>
          <w:color w:val="000000"/>
          <w:lang w:val="fr-FR"/>
        </w:rPr>
        <w:t xml:space="preserve"> </w:t>
      </w:r>
      <w:r w:rsidR="00A14558" w:rsidRPr="00A14558">
        <w:rPr>
          <w:rFonts w:ascii="Verdana" w:hAnsi="Verdana"/>
          <w:color w:val="000000"/>
          <w:lang w:val="fr-FR"/>
        </w:rPr>
        <w:t xml:space="preserve">en association avec le </w:t>
      </w:r>
      <w:proofErr w:type="spellStart"/>
      <w:r w:rsidR="00A14558">
        <w:rPr>
          <w:rFonts w:ascii="Verdana" w:hAnsi="Verdana"/>
          <w:color w:val="000000"/>
          <w:lang w:val="fr-FR"/>
        </w:rPr>
        <w:t>d</w:t>
      </w:r>
      <w:r w:rsidR="00A14558" w:rsidRPr="00A14558">
        <w:rPr>
          <w:rFonts w:ascii="Verdana" w:hAnsi="Verdana"/>
          <w:color w:val="000000"/>
          <w:lang w:val="fr-FR"/>
        </w:rPr>
        <w:t>urvalumab</w:t>
      </w:r>
      <w:proofErr w:type="spellEnd"/>
      <w:r w:rsidR="00A14558" w:rsidRPr="00A14558">
        <w:rPr>
          <w:rFonts w:ascii="Verdana" w:hAnsi="Verdana"/>
          <w:color w:val="000000"/>
          <w:lang w:val="fr-FR"/>
        </w:rPr>
        <w:t xml:space="preserve"> soient pris en charge, comme décrit dans l'étude HIMALAYA.</w:t>
      </w:r>
    </w:p>
    <w:p w14:paraId="218A7685" w14:textId="77777777" w:rsidR="00E16D1E" w:rsidRDefault="00E16D1E" w:rsidP="001A06ED">
      <w:pPr>
        <w:jc w:val="both"/>
        <w:rPr>
          <w:rFonts w:ascii="Verdana" w:hAnsi="Verdana"/>
          <w:color w:val="000000"/>
          <w:lang w:val="fr-FR"/>
        </w:rPr>
      </w:pPr>
    </w:p>
    <w:p w14:paraId="1E372BCC" w14:textId="77777777" w:rsidR="004F3C82" w:rsidRPr="003C6633" w:rsidRDefault="004F3C82" w:rsidP="004F3C82">
      <w:pPr>
        <w:jc w:val="both"/>
        <w:rPr>
          <w:rFonts w:ascii="Verdana" w:hAnsi="Verdana"/>
          <w:b/>
          <w:bCs/>
          <w:color w:val="4472C4" w:themeColor="accent1"/>
          <w:lang w:val="fr-FR"/>
        </w:rPr>
      </w:pPr>
      <w:r w:rsidRPr="003C6633">
        <w:rPr>
          <w:rFonts w:ascii="Verdana" w:hAnsi="Verdana"/>
          <w:b/>
          <w:bCs/>
          <w:color w:val="4472C4" w:themeColor="accent1"/>
          <w:lang w:val="fr-FR"/>
        </w:rPr>
        <w:t>INDICATION DE SWISSMEDIC</w:t>
      </w:r>
    </w:p>
    <w:p w14:paraId="6FA1689C" w14:textId="12ECD04C" w:rsidR="004F3C82" w:rsidRPr="004F3C82" w:rsidRDefault="004F3C82" w:rsidP="001A06ED">
      <w:pPr>
        <w:jc w:val="both"/>
        <w:rPr>
          <w:rFonts w:ascii="Verdana" w:hAnsi="Verdana"/>
          <w:i/>
          <w:iCs/>
          <w:lang w:val="fr-FR"/>
        </w:rPr>
      </w:pPr>
      <w:proofErr w:type="spellStart"/>
      <w:r w:rsidRPr="00037959">
        <w:rPr>
          <w:rFonts w:ascii="Verdana" w:hAnsi="Verdana"/>
          <w:i/>
          <w:iCs/>
          <w:lang w:val="fr-FR"/>
        </w:rPr>
        <w:t>I</w:t>
      </w:r>
      <w:r>
        <w:rPr>
          <w:rFonts w:ascii="Verdana" w:hAnsi="Verdana"/>
          <w:i/>
          <w:iCs/>
          <w:lang w:val="fr-FR"/>
        </w:rPr>
        <w:t>mjudo</w:t>
      </w:r>
      <w:proofErr w:type="spellEnd"/>
      <w:r>
        <w:rPr>
          <w:rFonts w:ascii="Verdana" w:hAnsi="Verdana"/>
          <w:i/>
          <w:iCs/>
          <w:lang w:val="fr-FR"/>
        </w:rPr>
        <w:t xml:space="preserve"> (</w:t>
      </w:r>
      <w:proofErr w:type="spellStart"/>
      <w:r w:rsidRPr="00AE6259">
        <w:rPr>
          <w:rFonts w:ascii="Verdana" w:hAnsi="Verdana"/>
          <w:color w:val="000000"/>
          <w:lang w:val="fr-FR"/>
        </w:rPr>
        <w:t>trémélimumab</w:t>
      </w:r>
      <w:proofErr w:type="spellEnd"/>
      <w:r>
        <w:rPr>
          <w:rFonts w:ascii="Verdana" w:hAnsi="Verdana"/>
          <w:color w:val="000000"/>
          <w:lang w:val="fr-FR"/>
        </w:rPr>
        <w:t>)</w:t>
      </w:r>
      <w:r w:rsidRPr="00037959">
        <w:rPr>
          <w:rFonts w:ascii="Verdana" w:hAnsi="Verdana"/>
          <w:i/>
          <w:iCs/>
          <w:lang w:val="fr-FR"/>
        </w:rPr>
        <w:t xml:space="preserve">, en association avec le </w:t>
      </w:r>
      <w:proofErr w:type="spellStart"/>
      <w:r w:rsidRPr="00037959">
        <w:rPr>
          <w:rFonts w:ascii="Verdana" w:hAnsi="Verdana"/>
          <w:i/>
          <w:iCs/>
          <w:lang w:val="fr-FR"/>
        </w:rPr>
        <w:t>durvalumab</w:t>
      </w:r>
      <w:proofErr w:type="spellEnd"/>
      <w:r>
        <w:rPr>
          <w:rFonts w:ascii="Verdana" w:hAnsi="Verdana"/>
          <w:i/>
          <w:iCs/>
          <w:lang w:val="fr-FR"/>
        </w:rPr>
        <w:t xml:space="preserve"> (</w:t>
      </w:r>
      <w:proofErr w:type="spellStart"/>
      <w:r>
        <w:rPr>
          <w:rFonts w:ascii="Verdana" w:hAnsi="Verdana"/>
          <w:i/>
          <w:iCs/>
          <w:lang w:val="fr-FR"/>
        </w:rPr>
        <w:t>Imfinzi</w:t>
      </w:r>
      <w:proofErr w:type="spellEnd"/>
      <w:r>
        <w:rPr>
          <w:rFonts w:ascii="Verdana" w:hAnsi="Verdana"/>
          <w:i/>
          <w:iCs/>
          <w:lang w:val="fr-FR"/>
        </w:rPr>
        <w:t>)</w:t>
      </w:r>
      <w:r w:rsidRPr="00037959">
        <w:rPr>
          <w:rFonts w:ascii="Verdana" w:hAnsi="Verdana"/>
          <w:i/>
          <w:iCs/>
          <w:lang w:val="fr-FR"/>
        </w:rPr>
        <w:t xml:space="preserve">, est indiqué pour le traitement des patients atteints de </w:t>
      </w:r>
      <w:r w:rsidRPr="00BC0D0D">
        <w:rPr>
          <w:rFonts w:ascii="Verdana" w:hAnsi="Verdana"/>
          <w:i/>
          <w:iCs/>
          <w:lang w:val="fr-FR"/>
        </w:rPr>
        <w:t>carcinome</w:t>
      </w:r>
      <w:r w:rsidRPr="00037959">
        <w:rPr>
          <w:rFonts w:ascii="Verdana" w:hAnsi="Verdana"/>
          <w:i/>
          <w:iCs/>
          <w:lang w:val="fr-FR"/>
        </w:rPr>
        <w:t xml:space="preserve"> hépatocellulaire non opérable (</w:t>
      </w:r>
      <w:proofErr w:type="spellStart"/>
      <w:r w:rsidRPr="00037959">
        <w:rPr>
          <w:rFonts w:ascii="Verdana" w:hAnsi="Verdana"/>
          <w:i/>
          <w:iCs/>
          <w:lang w:val="fr-FR"/>
        </w:rPr>
        <w:t>uHCC</w:t>
      </w:r>
      <w:proofErr w:type="spellEnd"/>
      <w:r w:rsidRPr="00037959">
        <w:rPr>
          <w:rFonts w:ascii="Verdana" w:hAnsi="Verdana"/>
          <w:i/>
          <w:iCs/>
          <w:lang w:val="fr-FR"/>
        </w:rPr>
        <w:t>) n’ayant pas encore reçu de prétraitement systémique.</w:t>
      </w:r>
      <w:r w:rsidRPr="00037959">
        <w:rPr>
          <w:rFonts w:ascii="Verdana" w:hAnsi="Verdana"/>
          <w:i/>
          <w:iCs/>
          <w:vertAlign w:val="superscript"/>
          <w:lang w:val="fr-FR"/>
        </w:rPr>
        <w:t>1</w:t>
      </w:r>
    </w:p>
    <w:p w14:paraId="7DB56A10" w14:textId="77777777" w:rsidR="004F3C82" w:rsidRDefault="004F3C82" w:rsidP="001A06ED">
      <w:pPr>
        <w:jc w:val="both"/>
        <w:rPr>
          <w:rFonts w:ascii="Verdana" w:hAnsi="Verdana"/>
          <w:color w:val="000000"/>
          <w:lang w:val="fr-FR"/>
        </w:rPr>
      </w:pPr>
    </w:p>
    <w:p w14:paraId="77F8B933" w14:textId="05516459" w:rsidR="00844764" w:rsidRPr="00844764" w:rsidRDefault="00844764" w:rsidP="001A06ED">
      <w:pPr>
        <w:jc w:val="both"/>
        <w:rPr>
          <w:rFonts w:ascii="Verdana" w:hAnsi="Verdana"/>
          <w:b/>
          <w:bCs/>
          <w:color w:val="4472C4" w:themeColor="accent1"/>
          <w:lang w:val="fr-FR"/>
        </w:rPr>
      </w:pPr>
      <w:r w:rsidRPr="00844764">
        <w:rPr>
          <w:rFonts w:ascii="Verdana" w:hAnsi="Verdana"/>
          <w:b/>
          <w:bCs/>
          <w:color w:val="4472C4" w:themeColor="accent1"/>
          <w:lang w:val="fr-FR"/>
        </w:rPr>
        <w:t>RECOMMANDATIONS DES DIRECTIVES</w:t>
      </w:r>
    </w:p>
    <w:p w14:paraId="0E7D7971" w14:textId="52EC9928" w:rsidR="00C94D69" w:rsidRPr="00037959" w:rsidRDefault="00293B48" w:rsidP="00C94D69">
      <w:pPr>
        <w:jc w:val="both"/>
        <w:rPr>
          <w:rFonts w:ascii="Verdana" w:hAnsi="Verdana"/>
          <w:lang w:val="fr-FR"/>
        </w:rPr>
      </w:pPr>
      <w:proofErr w:type="spellStart"/>
      <w:r w:rsidRPr="00293B48">
        <w:rPr>
          <w:rFonts w:ascii="Verdana" w:hAnsi="Verdana"/>
          <w:lang w:val="fr-FR"/>
        </w:rPr>
        <w:t>Imjudo</w:t>
      </w:r>
      <w:proofErr w:type="spellEnd"/>
      <w:r w:rsidR="00585DA5">
        <w:rPr>
          <w:rFonts w:ascii="Verdana" w:hAnsi="Verdana"/>
          <w:lang w:val="fr-FR"/>
        </w:rPr>
        <w:t xml:space="preserve"> </w:t>
      </w:r>
      <w:r w:rsidR="00585DA5">
        <w:rPr>
          <w:rFonts w:ascii="Verdana" w:hAnsi="Verdana"/>
          <w:i/>
          <w:iCs/>
          <w:lang w:val="fr-FR"/>
        </w:rPr>
        <w:t>(</w:t>
      </w:r>
      <w:proofErr w:type="spellStart"/>
      <w:r w:rsidR="00585DA5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85DA5">
        <w:rPr>
          <w:rFonts w:ascii="Verdana" w:hAnsi="Verdana"/>
          <w:color w:val="000000"/>
          <w:lang w:val="fr-FR"/>
        </w:rPr>
        <w:t>)</w:t>
      </w:r>
      <w:r w:rsidRPr="00293B48">
        <w:rPr>
          <w:rFonts w:ascii="Verdana" w:hAnsi="Verdana"/>
          <w:lang w:val="fr-FR"/>
        </w:rPr>
        <w:t xml:space="preserve"> en association avec </w:t>
      </w:r>
      <w:proofErr w:type="spellStart"/>
      <w:r w:rsidRPr="00293B48">
        <w:rPr>
          <w:rFonts w:ascii="Verdana" w:hAnsi="Verdana"/>
          <w:lang w:val="fr-FR"/>
        </w:rPr>
        <w:t>durvalumab</w:t>
      </w:r>
      <w:proofErr w:type="spellEnd"/>
      <w:r w:rsidR="00C94D69" w:rsidRPr="00037959">
        <w:rPr>
          <w:rFonts w:ascii="Verdana" w:hAnsi="Verdana"/>
          <w:lang w:val="fr-FR"/>
        </w:rPr>
        <w:t xml:space="preserve"> répond aux critères de grade 5 pour une amplitude substantielle du bénéfice clinique conformément au formulaire d’évaluation 2a du score </w:t>
      </w:r>
      <w:r w:rsidR="00C94D69" w:rsidRPr="00F868BD">
        <w:rPr>
          <w:rFonts w:ascii="Verdana" w:hAnsi="Verdana"/>
          <w:i/>
          <w:iCs/>
          <w:lang w:val="fr-FR"/>
        </w:rPr>
        <w:t xml:space="preserve">ESMO-Magnitude of </w:t>
      </w:r>
      <w:proofErr w:type="spellStart"/>
      <w:r w:rsidR="00C94D69" w:rsidRPr="00F868BD">
        <w:rPr>
          <w:rFonts w:ascii="Verdana" w:hAnsi="Verdana"/>
          <w:i/>
          <w:iCs/>
          <w:lang w:val="fr-FR"/>
        </w:rPr>
        <w:t>Clinical</w:t>
      </w:r>
      <w:proofErr w:type="spellEnd"/>
      <w:r w:rsidR="00C94D69" w:rsidRPr="00F868BD">
        <w:rPr>
          <w:rFonts w:ascii="Verdana" w:hAnsi="Verdana"/>
          <w:i/>
          <w:iCs/>
          <w:lang w:val="fr-FR"/>
        </w:rPr>
        <w:t xml:space="preserve"> </w:t>
      </w:r>
      <w:proofErr w:type="spellStart"/>
      <w:r w:rsidR="00C94D69" w:rsidRPr="00F868BD">
        <w:rPr>
          <w:rFonts w:ascii="Verdana" w:hAnsi="Verdana"/>
          <w:i/>
          <w:iCs/>
          <w:lang w:val="fr-FR"/>
        </w:rPr>
        <w:t>Benefit</w:t>
      </w:r>
      <w:proofErr w:type="spellEnd"/>
      <w:r w:rsidR="00C94D69">
        <w:rPr>
          <w:rFonts w:ascii="Verdana" w:hAnsi="Verdana"/>
          <w:i/>
          <w:iCs/>
          <w:lang w:val="fr-FR"/>
        </w:rPr>
        <w:t xml:space="preserve"> </w:t>
      </w:r>
      <w:proofErr w:type="spellStart"/>
      <w:r w:rsidR="00C94D69">
        <w:rPr>
          <w:rFonts w:ascii="Verdana" w:hAnsi="Verdana"/>
          <w:i/>
          <w:iCs/>
          <w:lang w:val="fr-FR"/>
        </w:rPr>
        <w:t>Scale</w:t>
      </w:r>
      <w:proofErr w:type="spellEnd"/>
      <w:r w:rsidR="00C94D69" w:rsidRPr="00037959">
        <w:rPr>
          <w:rFonts w:ascii="Verdana" w:hAnsi="Verdana"/>
          <w:lang w:val="fr-FR"/>
        </w:rPr>
        <w:t xml:space="preserve"> (MCBS) v1.1.</w:t>
      </w:r>
      <w:r w:rsidR="00B5272E">
        <w:rPr>
          <w:rFonts w:ascii="Verdana" w:hAnsi="Verdana"/>
          <w:vertAlign w:val="superscript"/>
          <w:lang w:val="fr-FR"/>
        </w:rPr>
        <w:t>2</w:t>
      </w:r>
    </w:p>
    <w:p w14:paraId="7EA89D71" w14:textId="49205608" w:rsidR="00C94D69" w:rsidRPr="00037959" w:rsidRDefault="00C94D69" w:rsidP="00C94D69">
      <w:pPr>
        <w:jc w:val="both"/>
        <w:rPr>
          <w:rFonts w:ascii="Verdana" w:hAnsi="Verdana"/>
          <w:color w:val="FF0000"/>
          <w:lang w:val="fr-FR"/>
        </w:rPr>
      </w:pPr>
      <w:r w:rsidRPr="00037959">
        <w:rPr>
          <w:rFonts w:ascii="Verdana" w:hAnsi="Verdana"/>
          <w:lang w:val="fr-FR"/>
        </w:rPr>
        <w:t xml:space="preserve">De plus, les </w:t>
      </w:r>
      <w:r>
        <w:rPr>
          <w:rFonts w:ascii="Verdana" w:hAnsi="Verdana"/>
          <w:lang w:val="fr-FR"/>
        </w:rPr>
        <w:t>recommandations</w:t>
      </w:r>
      <w:r w:rsidRPr="00037959">
        <w:rPr>
          <w:rFonts w:ascii="Verdana" w:hAnsi="Verdana"/>
          <w:lang w:val="fr-FR"/>
        </w:rPr>
        <w:t xml:space="preserve"> d</w:t>
      </w:r>
      <w:r w:rsidR="005E24F9" w:rsidRPr="004F3C82">
        <w:rPr>
          <w:rFonts w:ascii="Verdana" w:hAnsi="Verdana"/>
          <w:lang w:val="fr-FR"/>
        </w:rPr>
        <w:t>e la</w:t>
      </w:r>
      <w:r w:rsidRPr="00037959">
        <w:rPr>
          <w:rFonts w:ascii="Verdana" w:hAnsi="Verdana"/>
          <w:lang w:val="fr-FR"/>
        </w:rPr>
        <w:t xml:space="preserve"> NCCN pour les cancers hépatobiliaires (v1.2023) incluent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037959">
        <w:rPr>
          <w:rFonts w:ascii="Verdana" w:hAnsi="Verdana"/>
          <w:lang w:val="fr-FR"/>
        </w:rPr>
        <w:t xml:space="preserve"> comme régime privilégié pour le traitement du uHCC</w:t>
      </w:r>
      <w:r>
        <w:rPr>
          <w:rFonts w:ascii="Verdana" w:hAnsi="Verdana"/>
          <w:lang w:val="fr-FR"/>
        </w:rPr>
        <w:t xml:space="preserve"> en</w:t>
      </w:r>
      <w:r w:rsidRPr="00037959">
        <w:rPr>
          <w:rFonts w:ascii="Verdana" w:hAnsi="Verdana"/>
          <w:lang w:val="fr-FR"/>
        </w:rPr>
        <w:t xml:space="preserve"> 1L (catégorie 1).</w:t>
      </w:r>
      <w:r w:rsidR="00B5272E">
        <w:rPr>
          <w:rFonts w:ascii="Verdana" w:hAnsi="Verdana"/>
          <w:vertAlign w:val="superscript"/>
          <w:lang w:val="fr-FR"/>
        </w:rPr>
        <w:t>3</w:t>
      </w:r>
      <w:r w:rsidRPr="00037959">
        <w:rPr>
          <w:rFonts w:ascii="Verdana" w:hAnsi="Verdana"/>
          <w:lang w:val="fr-FR"/>
        </w:rPr>
        <w:t xml:space="preserve"> </w:t>
      </w:r>
    </w:p>
    <w:p w14:paraId="59E4C5C0" w14:textId="3E25BF15" w:rsidR="00A82E86" w:rsidRDefault="00B5272E" w:rsidP="001A06ED">
      <w:pPr>
        <w:jc w:val="both"/>
        <w:rPr>
          <w:rFonts w:ascii="Verdana" w:hAnsi="Verdana"/>
          <w:lang w:val="fr-FR"/>
        </w:rPr>
      </w:pPr>
      <w:r w:rsidRPr="00B5272E">
        <w:rPr>
          <w:rFonts w:ascii="Verdana" w:hAnsi="Verdana"/>
          <w:lang w:val="fr-FR"/>
        </w:rPr>
        <w:t xml:space="preserve">Le groupe BCLC (Barcelona Clinic </w:t>
      </w:r>
      <w:proofErr w:type="spellStart"/>
      <w:r w:rsidRPr="00B5272E">
        <w:rPr>
          <w:rFonts w:ascii="Verdana" w:hAnsi="Verdana"/>
          <w:lang w:val="fr-FR"/>
        </w:rPr>
        <w:t>Liver</w:t>
      </w:r>
      <w:proofErr w:type="spellEnd"/>
      <w:r w:rsidRPr="00B5272E">
        <w:rPr>
          <w:rFonts w:ascii="Verdana" w:hAnsi="Verdana"/>
          <w:lang w:val="fr-FR"/>
        </w:rPr>
        <w:t xml:space="preserve"> Cancer) recommande l'utilisation de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B5272E">
        <w:rPr>
          <w:rFonts w:ascii="Verdana" w:hAnsi="Verdana"/>
          <w:lang w:val="fr-FR"/>
        </w:rPr>
        <w:t xml:space="preserve"> comme traitement alternatif préférentiel de première intention à l'</w:t>
      </w:r>
      <w:proofErr w:type="spellStart"/>
      <w:r w:rsidRPr="00B5272E">
        <w:rPr>
          <w:rFonts w:ascii="Verdana" w:hAnsi="Verdana"/>
          <w:lang w:val="fr-FR"/>
        </w:rPr>
        <w:t>atezolizumab</w:t>
      </w:r>
      <w:proofErr w:type="spellEnd"/>
      <w:r w:rsidRPr="00B5272E">
        <w:rPr>
          <w:rFonts w:ascii="Verdana" w:hAnsi="Verdana"/>
          <w:lang w:val="fr-FR"/>
        </w:rPr>
        <w:t>/bevacizumab.</w:t>
      </w:r>
      <w:r w:rsidRPr="00B5272E">
        <w:rPr>
          <w:rFonts w:ascii="Verdana" w:hAnsi="Verdana"/>
          <w:vertAlign w:val="superscript"/>
          <w:lang w:val="fr-FR"/>
        </w:rPr>
        <w:t>4</w:t>
      </w:r>
    </w:p>
    <w:p w14:paraId="67D5C1EC" w14:textId="77777777" w:rsidR="00C94D69" w:rsidRDefault="00C94D69" w:rsidP="001A06ED">
      <w:pPr>
        <w:jc w:val="both"/>
        <w:rPr>
          <w:rFonts w:ascii="Verdana" w:hAnsi="Verdana"/>
          <w:lang w:val="fr-FR"/>
        </w:rPr>
      </w:pPr>
    </w:p>
    <w:p w14:paraId="38DB9B68" w14:textId="1BBED1A6" w:rsidR="00627411" w:rsidRPr="00627411" w:rsidRDefault="00627411" w:rsidP="001A06ED">
      <w:pPr>
        <w:jc w:val="both"/>
        <w:rPr>
          <w:rFonts w:ascii="Verdana" w:hAnsi="Verdana"/>
          <w:b/>
          <w:bCs/>
          <w:color w:val="4472C4" w:themeColor="accent1"/>
          <w:lang w:val="fr-FR"/>
        </w:rPr>
      </w:pPr>
      <w:r w:rsidRPr="00627411">
        <w:rPr>
          <w:rFonts w:ascii="Verdana" w:hAnsi="Verdana"/>
          <w:b/>
          <w:bCs/>
          <w:color w:val="4472C4" w:themeColor="accent1"/>
          <w:lang w:val="fr-FR"/>
        </w:rPr>
        <w:t>ÉVALUATION DES OLU TOOL</w:t>
      </w:r>
    </w:p>
    <w:p w14:paraId="3BBDE1D6" w14:textId="51C36D51" w:rsidR="00FC09B9" w:rsidRPr="00FC09B9" w:rsidRDefault="00FC09B9" w:rsidP="00FC09B9">
      <w:pPr>
        <w:jc w:val="both"/>
        <w:rPr>
          <w:rFonts w:ascii="Verdana" w:hAnsi="Verdana"/>
          <w:lang w:val="fr-FR"/>
        </w:rPr>
      </w:pPr>
      <w:r w:rsidRPr="00FC09B9">
        <w:rPr>
          <w:rFonts w:ascii="Verdana" w:hAnsi="Verdana"/>
          <w:lang w:val="fr-FR"/>
        </w:rPr>
        <w:t>L’évaluation du bénéfice de l’outil OLU aboutit à une note d’étude de A pour l’étude HIMALAYA </w:t>
      </w:r>
      <w:r w:rsidR="004D0248">
        <w:rPr>
          <w:rFonts w:ascii="Verdana" w:hAnsi="Verdana"/>
          <w:lang w:val="fr-FR"/>
        </w:rPr>
        <w:t xml:space="preserve">(4 points) </w:t>
      </w:r>
      <w:r w:rsidRPr="00FC09B9">
        <w:rPr>
          <w:rFonts w:ascii="Verdana" w:hAnsi="Verdana"/>
          <w:lang w:val="fr-FR"/>
        </w:rPr>
        <w:t>:</w:t>
      </w:r>
    </w:p>
    <w:p w14:paraId="7E8DA1FC" w14:textId="702DAEAF" w:rsidR="00FC09B9" w:rsidRDefault="00FC09B9" w:rsidP="00FC09B9">
      <w:pPr>
        <w:numPr>
          <w:ilvl w:val="0"/>
          <w:numId w:val="10"/>
        </w:numPr>
        <w:jc w:val="both"/>
        <w:rPr>
          <w:rFonts w:ascii="Verdana" w:hAnsi="Verdana"/>
          <w:lang w:val="fr-FR"/>
        </w:rPr>
      </w:pPr>
      <w:r w:rsidRPr="00FC09B9">
        <w:rPr>
          <w:rFonts w:ascii="Verdana" w:hAnsi="Verdana"/>
          <w:lang w:val="fr-FR"/>
        </w:rPr>
        <w:t>Catégorie 2 (SG comme critère d'évaluation principal - SG médiane avec traitement standard/meilleurs soins de soutien 1 à 2 ans) - ∆OS après 36 mois ≥10 %</w:t>
      </w:r>
      <w:r w:rsidR="007A3420">
        <w:rPr>
          <w:rFonts w:ascii="Verdana" w:hAnsi="Verdana"/>
          <w:lang w:val="fr-FR"/>
        </w:rPr>
        <w:t xml:space="preserve"> </w:t>
      </w:r>
      <w:r w:rsidR="00632DA9" w:rsidRPr="00632DA9">
        <w:rPr>
          <w:rFonts w:ascii="Verdana" w:hAnsi="Verdana"/>
          <w:lang w:val="fr-FR"/>
        </w:rPr>
        <w:t xml:space="preserve">: </w:t>
      </w:r>
      <w:r w:rsidR="00B458E5" w:rsidRPr="00B458E5">
        <w:rPr>
          <w:rFonts w:ascii="Verdana" w:hAnsi="Verdana"/>
          <w:lang w:val="fr-FR"/>
        </w:rPr>
        <w:t>(30,7</w:t>
      </w:r>
      <w:r w:rsidR="001D6C35">
        <w:rPr>
          <w:rFonts w:ascii="Verdana" w:hAnsi="Verdana"/>
          <w:lang w:val="fr-FR"/>
        </w:rPr>
        <w:t xml:space="preserve"> </w:t>
      </w:r>
      <w:r w:rsidR="00B458E5" w:rsidRPr="00B458E5">
        <w:rPr>
          <w:rFonts w:ascii="Verdana" w:hAnsi="Verdana"/>
          <w:lang w:val="fr-FR"/>
        </w:rPr>
        <w:t>% vs 19,8</w:t>
      </w:r>
      <w:r w:rsidR="001D6C35">
        <w:rPr>
          <w:rFonts w:ascii="Verdana" w:hAnsi="Verdana"/>
          <w:lang w:val="fr-FR"/>
        </w:rPr>
        <w:t xml:space="preserve"> </w:t>
      </w:r>
      <w:r w:rsidR="00B458E5" w:rsidRPr="00B458E5">
        <w:rPr>
          <w:rFonts w:ascii="Verdana" w:hAnsi="Verdana"/>
          <w:lang w:val="fr-FR"/>
        </w:rPr>
        <w:t>% à 36 mois et 25,2</w:t>
      </w:r>
      <w:r w:rsidR="001D6C35">
        <w:rPr>
          <w:rFonts w:ascii="Verdana" w:hAnsi="Verdana"/>
          <w:lang w:val="fr-FR"/>
        </w:rPr>
        <w:t xml:space="preserve"> </w:t>
      </w:r>
      <w:r w:rsidR="00B458E5" w:rsidRPr="00B458E5">
        <w:rPr>
          <w:rFonts w:ascii="Verdana" w:hAnsi="Verdana"/>
          <w:lang w:val="fr-FR"/>
        </w:rPr>
        <w:t>% vs 15,1</w:t>
      </w:r>
      <w:r w:rsidR="001D6C35">
        <w:rPr>
          <w:rFonts w:ascii="Verdana" w:hAnsi="Verdana"/>
          <w:lang w:val="fr-FR"/>
        </w:rPr>
        <w:t xml:space="preserve"> </w:t>
      </w:r>
      <w:r w:rsidR="00B458E5" w:rsidRPr="00B458E5">
        <w:rPr>
          <w:rFonts w:ascii="Verdana" w:hAnsi="Verdana"/>
          <w:lang w:val="fr-FR"/>
        </w:rPr>
        <w:t>% à 48 mois)</w:t>
      </w:r>
      <w:r w:rsidR="00B458E5" w:rsidRPr="00FF0F17">
        <w:rPr>
          <w:rFonts w:ascii="Verdana" w:hAnsi="Verdana"/>
          <w:vertAlign w:val="superscript"/>
          <w:lang w:val="fr-FR"/>
        </w:rPr>
        <w:t>5</w:t>
      </w:r>
      <w:r w:rsidR="00E83725">
        <w:rPr>
          <w:rFonts w:ascii="Verdana" w:hAnsi="Verdana"/>
          <w:lang w:val="fr-FR"/>
        </w:rPr>
        <w:t xml:space="preserve"> </w:t>
      </w:r>
      <w:r w:rsidR="003462D2" w:rsidRPr="00FF0F17">
        <w:rPr>
          <w:rFonts w:ascii="Verdana" w:hAnsi="Verdana"/>
          <w:b/>
          <w:bCs/>
          <w:lang w:val="fr-FR"/>
        </w:rPr>
        <w:t>+</w:t>
      </w:r>
      <w:r w:rsidR="00632DA9" w:rsidRPr="00FF0F17">
        <w:rPr>
          <w:rFonts w:ascii="Verdana" w:hAnsi="Verdana"/>
          <w:b/>
          <w:bCs/>
          <w:lang w:val="fr-FR"/>
        </w:rPr>
        <w:t>4 points</w:t>
      </w:r>
      <w:r w:rsidR="00FF0F17" w:rsidRPr="004A7134">
        <w:rPr>
          <w:rFonts w:ascii="Verdana" w:hAnsi="Verdana"/>
          <w:lang w:val="fr-FR"/>
        </w:rPr>
        <w:t>.</w:t>
      </w:r>
    </w:p>
    <w:p w14:paraId="0E07A9DD" w14:textId="0EB9B99A" w:rsidR="00FF0F17" w:rsidRPr="00FC09B9" w:rsidRDefault="00FF0F17" w:rsidP="00FC09B9">
      <w:pPr>
        <w:numPr>
          <w:ilvl w:val="0"/>
          <w:numId w:val="10"/>
        </w:numPr>
        <w:jc w:val="both"/>
        <w:rPr>
          <w:rFonts w:ascii="Verdana" w:hAnsi="Verdana"/>
          <w:lang w:val="fr-FR"/>
        </w:rPr>
      </w:pPr>
      <w:r w:rsidRPr="00FF0F17">
        <w:rPr>
          <w:rFonts w:ascii="Verdana" w:hAnsi="Verdana"/>
          <w:lang w:val="fr-FR"/>
        </w:rPr>
        <w:t xml:space="preserve">Les PRO (résultats rapportés par les patients) étaient l'un des critères d'évaluation secondaires de l'étude HIMALAYA. Le délai de détérioration de </w:t>
      </w:r>
      <w:r w:rsidRPr="00FF0F17">
        <w:rPr>
          <w:rFonts w:ascii="Verdana" w:hAnsi="Verdana"/>
          <w:lang w:val="fr-FR"/>
        </w:rPr>
        <w:lastRenderedPageBreak/>
        <w:t>la qualité de vie globale (</w:t>
      </w:r>
      <w:proofErr w:type="spellStart"/>
      <w:r w:rsidRPr="00FF0F17">
        <w:rPr>
          <w:rFonts w:ascii="Verdana" w:hAnsi="Verdana"/>
          <w:lang w:val="fr-FR"/>
        </w:rPr>
        <w:t>QdV</w:t>
      </w:r>
      <w:proofErr w:type="spellEnd"/>
      <w:r w:rsidRPr="00FF0F17">
        <w:rPr>
          <w:rFonts w:ascii="Verdana" w:hAnsi="Verdana"/>
          <w:lang w:val="fr-FR"/>
        </w:rPr>
        <w:t>) a amélioré significativement le risque relatif, HR 0,76 (IC 95</w:t>
      </w:r>
      <w:r w:rsidR="001D6C35">
        <w:rPr>
          <w:rFonts w:ascii="Verdana" w:hAnsi="Verdana"/>
          <w:lang w:val="fr-FR"/>
        </w:rPr>
        <w:t xml:space="preserve"> </w:t>
      </w:r>
      <w:r w:rsidRPr="00FF0F17">
        <w:rPr>
          <w:rFonts w:ascii="Verdana" w:hAnsi="Verdana"/>
          <w:lang w:val="fr-FR"/>
        </w:rPr>
        <w:t>% 0,61</w:t>
      </w:r>
      <w:r w:rsidR="00F85FEA">
        <w:rPr>
          <w:rFonts w:ascii="Verdana" w:hAnsi="Verdana"/>
          <w:lang w:val="fr-FR"/>
        </w:rPr>
        <w:t xml:space="preserve"> ; </w:t>
      </w:r>
      <w:r w:rsidRPr="00FF0F17">
        <w:rPr>
          <w:rFonts w:ascii="Verdana" w:hAnsi="Verdana"/>
          <w:lang w:val="fr-FR"/>
        </w:rPr>
        <w:t>0,96)</w:t>
      </w:r>
      <w:r w:rsidRPr="00FF0F17">
        <w:rPr>
          <w:rFonts w:ascii="Verdana" w:hAnsi="Verdana"/>
          <w:vertAlign w:val="superscript"/>
          <w:lang w:val="fr-FR"/>
        </w:rPr>
        <w:t>6</w:t>
      </w:r>
      <w:r w:rsidRPr="00FF0F17">
        <w:rPr>
          <w:rFonts w:ascii="Verdana" w:hAnsi="Verdana"/>
          <w:lang w:val="fr-FR"/>
        </w:rPr>
        <w:t xml:space="preserve"> : </w:t>
      </w:r>
      <w:r w:rsidRPr="00FF0F17">
        <w:rPr>
          <w:rFonts w:ascii="Verdana" w:hAnsi="Verdana"/>
          <w:b/>
          <w:bCs/>
          <w:lang w:val="fr-FR"/>
        </w:rPr>
        <w:t>+1 point</w:t>
      </w:r>
      <w:r w:rsidRPr="00FF0F17">
        <w:rPr>
          <w:rFonts w:ascii="Verdana" w:hAnsi="Verdana"/>
          <w:lang w:val="fr-FR"/>
        </w:rPr>
        <w:t>.</w:t>
      </w:r>
    </w:p>
    <w:p w14:paraId="1A8C392F" w14:textId="2677D29C" w:rsidR="00FC09B9" w:rsidRPr="00FC09B9" w:rsidRDefault="00FC09B9" w:rsidP="00FC09B9">
      <w:pPr>
        <w:numPr>
          <w:ilvl w:val="0"/>
          <w:numId w:val="10"/>
        </w:numPr>
        <w:jc w:val="both"/>
        <w:rPr>
          <w:rFonts w:ascii="Verdana" w:hAnsi="Verdana"/>
          <w:lang w:val="fr-FR"/>
        </w:rPr>
      </w:pPr>
      <w:r w:rsidRPr="00FC09B9">
        <w:rPr>
          <w:rFonts w:ascii="Verdana" w:hAnsi="Verdana"/>
          <w:lang w:val="fr-FR"/>
        </w:rPr>
        <w:t>Plateau de SG à long terme ≥ 12 mois</w:t>
      </w:r>
      <w:r w:rsidR="0099035B">
        <w:rPr>
          <w:rFonts w:ascii="Verdana" w:hAnsi="Verdana"/>
          <w:lang w:val="fr-FR"/>
        </w:rPr>
        <w:t xml:space="preserve"> : </w:t>
      </w:r>
      <w:r w:rsidR="0099035B" w:rsidRPr="004A7134">
        <w:rPr>
          <w:rFonts w:ascii="Verdana" w:hAnsi="Verdana"/>
          <w:b/>
          <w:bCs/>
          <w:lang w:val="fr-FR"/>
        </w:rPr>
        <w:t>+</w:t>
      </w:r>
      <w:r w:rsidR="004A7134" w:rsidRPr="004A7134">
        <w:rPr>
          <w:rFonts w:ascii="Verdana" w:hAnsi="Verdana"/>
          <w:b/>
          <w:bCs/>
          <w:lang w:val="fr-FR"/>
        </w:rPr>
        <w:t>1 point</w:t>
      </w:r>
      <w:r w:rsidR="004A7134">
        <w:rPr>
          <w:rFonts w:ascii="Verdana" w:hAnsi="Verdana"/>
          <w:lang w:val="fr-FR"/>
        </w:rPr>
        <w:t>.</w:t>
      </w:r>
      <w:r w:rsidRPr="00FC09B9">
        <w:rPr>
          <w:rFonts w:ascii="Verdana" w:hAnsi="Verdana"/>
          <w:lang w:val="fr-FR"/>
        </w:rPr>
        <w:t xml:space="preserve"> </w:t>
      </w:r>
    </w:p>
    <w:p w14:paraId="107A84A3" w14:textId="55E14520" w:rsidR="00FC09B9" w:rsidRPr="00FC09B9" w:rsidRDefault="00FC09B9" w:rsidP="00FC09B9">
      <w:pPr>
        <w:numPr>
          <w:ilvl w:val="0"/>
          <w:numId w:val="10"/>
        </w:numPr>
        <w:jc w:val="both"/>
        <w:rPr>
          <w:rFonts w:ascii="Verdana" w:hAnsi="Verdana"/>
          <w:lang w:val="fr-FR"/>
        </w:rPr>
      </w:pPr>
      <w:r w:rsidRPr="00FC09B9">
        <w:rPr>
          <w:rFonts w:ascii="Verdana" w:hAnsi="Verdana"/>
          <w:lang w:val="fr-FR"/>
        </w:rPr>
        <w:t xml:space="preserve">ORR [réponse partielle </w:t>
      </w:r>
      <w:r w:rsidR="002D13DE">
        <w:rPr>
          <w:rFonts w:ascii="Verdana" w:hAnsi="Verdana"/>
          <w:lang w:val="fr-FR"/>
        </w:rPr>
        <w:t>(</w:t>
      </w:r>
      <w:r w:rsidRPr="00FC09B9">
        <w:rPr>
          <w:rFonts w:ascii="Verdana" w:hAnsi="Verdana"/>
          <w:lang w:val="fr-FR"/>
        </w:rPr>
        <w:t>PR) + réponse complète (CR)] - ORR 15-30 %</w:t>
      </w:r>
      <w:r w:rsidR="004A7134">
        <w:rPr>
          <w:rFonts w:ascii="Verdana" w:hAnsi="Verdana"/>
          <w:lang w:val="fr-FR"/>
        </w:rPr>
        <w:t xml:space="preserve"> </w:t>
      </w:r>
      <w:r w:rsidR="004A7134" w:rsidRPr="004A7134">
        <w:rPr>
          <w:rFonts w:ascii="Verdana" w:hAnsi="Verdana"/>
          <w:lang w:val="fr-FR"/>
        </w:rPr>
        <w:t xml:space="preserve">(ORR pour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="004A7134" w:rsidRPr="004A7134">
        <w:rPr>
          <w:rFonts w:ascii="Verdana" w:hAnsi="Verdana"/>
          <w:lang w:val="fr-FR"/>
        </w:rPr>
        <w:t xml:space="preserve"> : 20,1</w:t>
      </w:r>
      <w:r w:rsidR="004A7134">
        <w:rPr>
          <w:rFonts w:ascii="Verdana" w:hAnsi="Verdana"/>
          <w:lang w:val="fr-FR"/>
        </w:rPr>
        <w:t xml:space="preserve"> </w:t>
      </w:r>
      <w:r w:rsidR="004A7134" w:rsidRPr="004A7134">
        <w:rPr>
          <w:rFonts w:ascii="Verdana" w:hAnsi="Verdana"/>
          <w:lang w:val="fr-FR"/>
        </w:rPr>
        <w:t>%)</w:t>
      </w:r>
      <w:r w:rsidR="00CA40E2" w:rsidRPr="00CA40E2">
        <w:rPr>
          <w:rFonts w:ascii="Verdana" w:hAnsi="Verdana"/>
          <w:vertAlign w:val="superscript"/>
          <w:lang w:val="fr-FR"/>
        </w:rPr>
        <w:t>7</w:t>
      </w:r>
      <w:r w:rsidR="004A7134">
        <w:rPr>
          <w:rFonts w:ascii="Verdana" w:hAnsi="Verdana"/>
          <w:lang w:val="fr-FR"/>
        </w:rPr>
        <w:t xml:space="preserve"> : </w:t>
      </w:r>
      <w:r w:rsidR="002D13DE">
        <w:rPr>
          <w:rFonts w:ascii="Verdana" w:hAnsi="Verdana"/>
          <w:b/>
          <w:bCs/>
          <w:lang w:val="fr-FR"/>
        </w:rPr>
        <w:t>-</w:t>
      </w:r>
      <w:r w:rsidR="004A7134" w:rsidRPr="004A7134">
        <w:rPr>
          <w:rFonts w:ascii="Verdana" w:hAnsi="Verdana"/>
          <w:b/>
          <w:bCs/>
          <w:lang w:val="fr-FR"/>
        </w:rPr>
        <w:t>1 point</w:t>
      </w:r>
      <w:r w:rsidRPr="00FC09B9">
        <w:rPr>
          <w:rFonts w:ascii="Verdana" w:hAnsi="Verdana"/>
          <w:lang w:val="fr-FR"/>
        </w:rPr>
        <w:t>.</w:t>
      </w:r>
    </w:p>
    <w:p w14:paraId="66518F9B" w14:textId="77777777" w:rsidR="0024264F" w:rsidRDefault="0024264F" w:rsidP="00546520">
      <w:pPr>
        <w:jc w:val="both"/>
        <w:rPr>
          <w:rFonts w:ascii="Verdana" w:hAnsi="Verdana"/>
          <w:lang w:val="fr-FR"/>
        </w:rPr>
      </w:pPr>
    </w:p>
    <w:p w14:paraId="1054C6FE" w14:textId="68471564" w:rsidR="00FC09B9" w:rsidRPr="00F30F29" w:rsidRDefault="00F30F29" w:rsidP="00546520">
      <w:pPr>
        <w:jc w:val="both"/>
        <w:rPr>
          <w:rFonts w:ascii="Verdana" w:hAnsi="Verdana"/>
          <w:b/>
          <w:bCs/>
          <w:lang w:val="fr-FR"/>
        </w:rPr>
      </w:pPr>
      <w:r w:rsidRPr="00F30F29">
        <w:rPr>
          <w:rFonts w:ascii="Verdana" w:hAnsi="Verdana"/>
          <w:b/>
          <w:bCs/>
          <w:color w:val="4472C4" w:themeColor="accent1"/>
          <w:lang w:val="fr-FR"/>
        </w:rPr>
        <w:t xml:space="preserve">LE MÉCANISME D'ACTION DE </w:t>
      </w:r>
      <w:r w:rsidR="0055344B">
        <w:rPr>
          <w:rFonts w:ascii="Verdana" w:hAnsi="Verdana"/>
          <w:b/>
          <w:bCs/>
          <w:color w:val="4472C4" w:themeColor="accent1"/>
          <w:lang w:val="fr-FR"/>
        </w:rPr>
        <w:t>TR</w:t>
      </w:r>
      <w:r w:rsidR="0055344B" w:rsidRPr="00627411">
        <w:rPr>
          <w:rFonts w:ascii="Verdana" w:hAnsi="Verdana"/>
          <w:b/>
          <w:bCs/>
          <w:color w:val="4472C4" w:themeColor="accent1"/>
          <w:lang w:val="fr-FR"/>
        </w:rPr>
        <w:t>É</w:t>
      </w:r>
      <w:r w:rsidR="0055344B">
        <w:rPr>
          <w:rFonts w:ascii="Verdana" w:hAnsi="Verdana"/>
          <w:b/>
          <w:bCs/>
          <w:color w:val="4472C4" w:themeColor="accent1"/>
          <w:lang w:val="fr-FR"/>
        </w:rPr>
        <w:t>M</w:t>
      </w:r>
      <w:r w:rsidR="0055344B" w:rsidRPr="00627411">
        <w:rPr>
          <w:rFonts w:ascii="Verdana" w:hAnsi="Verdana"/>
          <w:b/>
          <w:bCs/>
          <w:color w:val="4472C4" w:themeColor="accent1"/>
          <w:lang w:val="fr-FR"/>
        </w:rPr>
        <w:t>É</w:t>
      </w:r>
      <w:r w:rsidR="0055344B">
        <w:rPr>
          <w:rFonts w:ascii="Verdana" w:hAnsi="Verdana"/>
          <w:b/>
          <w:bCs/>
          <w:color w:val="4472C4" w:themeColor="accent1"/>
          <w:lang w:val="fr-FR"/>
        </w:rPr>
        <w:t>LIMUMAB/DURVALUMAB</w:t>
      </w:r>
    </w:p>
    <w:p w14:paraId="0C9B0620" w14:textId="70F356E5" w:rsidR="00546520" w:rsidRPr="00037959" w:rsidRDefault="005D11C6" w:rsidP="00546520">
      <w:pPr>
        <w:jc w:val="both"/>
        <w:rPr>
          <w:rFonts w:ascii="Verdana" w:hAnsi="Verdana"/>
          <w:color w:val="000000"/>
          <w:lang w:val="fr-FR"/>
        </w:rPr>
      </w:pPr>
      <w:proofErr w:type="spellStart"/>
      <w:r w:rsidRPr="00037959">
        <w:rPr>
          <w:rFonts w:ascii="Verdana" w:hAnsi="Verdana"/>
          <w:lang w:val="fr-FR"/>
        </w:rPr>
        <w:t>Imjudo</w:t>
      </w:r>
      <w:proofErr w:type="spellEnd"/>
      <w:r w:rsidR="00585DA5">
        <w:rPr>
          <w:rFonts w:ascii="Verdana" w:hAnsi="Verdana"/>
          <w:lang w:val="fr-FR"/>
        </w:rPr>
        <w:t xml:space="preserve"> </w:t>
      </w:r>
      <w:r w:rsidR="00585DA5">
        <w:rPr>
          <w:rFonts w:ascii="Verdana" w:hAnsi="Verdana"/>
          <w:i/>
          <w:iCs/>
          <w:lang w:val="fr-FR"/>
        </w:rPr>
        <w:t>(</w:t>
      </w:r>
      <w:proofErr w:type="spellStart"/>
      <w:r w:rsidR="00585DA5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85DA5">
        <w:rPr>
          <w:rFonts w:ascii="Verdana" w:hAnsi="Verdana"/>
          <w:color w:val="000000"/>
          <w:lang w:val="fr-FR"/>
        </w:rPr>
        <w:t>)</w:t>
      </w:r>
      <w:r w:rsidRPr="00037959">
        <w:rPr>
          <w:rFonts w:ascii="Verdana" w:hAnsi="Verdana"/>
          <w:lang w:val="fr-FR"/>
        </w:rPr>
        <w:t xml:space="preserve"> en association avec </w:t>
      </w:r>
      <w:proofErr w:type="spellStart"/>
      <w:r w:rsidRPr="00037959">
        <w:rPr>
          <w:rFonts w:ascii="Verdana" w:hAnsi="Verdana"/>
          <w:lang w:val="fr-FR"/>
        </w:rPr>
        <w:t>Imfinzi</w:t>
      </w:r>
      <w:proofErr w:type="spellEnd"/>
      <w:r w:rsidRPr="00037959">
        <w:rPr>
          <w:rFonts w:ascii="Verdana" w:hAnsi="Verdana"/>
          <w:lang w:val="fr-FR"/>
        </w:rPr>
        <w:t xml:space="preserve"> est une nouvelle option de traitement par immunothérapie et la première</w:t>
      </w:r>
      <w:r w:rsidR="005A5CD2" w:rsidRPr="00065F63">
        <w:rPr>
          <w:rFonts w:ascii="Verdana" w:hAnsi="Verdana"/>
          <w:lang w:val="fr-FR"/>
        </w:rPr>
        <w:t xml:space="preserve"> combinaison</w:t>
      </w:r>
      <w:r w:rsidRPr="00037959">
        <w:rPr>
          <w:rFonts w:ascii="Verdana" w:hAnsi="Verdana"/>
          <w:lang w:val="fr-FR"/>
        </w:rPr>
        <w:t xml:space="preserve"> </w:t>
      </w:r>
      <w:r w:rsidR="00C91EA1">
        <w:rPr>
          <w:rFonts w:ascii="Verdana" w:hAnsi="Verdana"/>
          <w:lang w:val="fr-FR"/>
        </w:rPr>
        <w:t xml:space="preserve">IO-IO </w:t>
      </w:r>
      <w:r w:rsidR="00CB7ABA" w:rsidRPr="003D460B">
        <w:rPr>
          <w:rFonts w:ascii="Verdana" w:hAnsi="Verdana"/>
          <w:lang w:val="fr-FR"/>
        </w:rPr>
        <w:t>pour le traitement de première ligne</w:t>
      </w:r>
      <w:r w:rsidRPr="003D460B">
        <w:rPr>
          <w:rFonts w:ascii="Verdana" w:hAnsi="Verdana"/>
          <w:lang w:val="fr-FR"/>
        </w:rPr>
        <w:t xml:space="preserve"> </w:t>
      </w:r>
      <w:r w:rsidR="000620D8" w:rsidRPr="003D460B">
        <w:rPr>
          <w:rFonts w:ascii="Verdana" w:hAnsi="Verdana"/>
          <w:lang w:val="fr-FR"/>
        </w:rPr>
        <w:t>d</w:t>
      </w:r>
      <w:r w:rsidR="00053F6E" w:rsidRPr="003D460B">
        <w:rPr>
          <w:rFonts w:ascii="Verdana" w:hAnsi="Verdana"/>
          <w:lang w:val="fr-FR"/>
        </w:rPr>
        <w:t>u</w:t>
      </w:r>
      <w:r w:rsidRPr="003D460B">
        <w:rPr>
          <w:rFonts w:ascii="Verdana" w:hAnsi="Verdana"/>
          <w:lang w:val="fr-FR"/>
        </w:rPr>
        <w:t xml:space="preserve"> </w:t>
      </w:r>
      <w:r w:rsidR="00872B6D" w:rsidRPr="003D460B">
        <w:rPr>
          <w:rFonts w:ascii="Verdana" w:hAnsi="Verdana"/>
          <w:lang w:val="fr-FR"/>
        </w:rPr>
        <w:t>uHCC</w:t>
      </w:r>
      <w:r w:rsidRPr="00037959">
        <w:rPr>
          <w:rFonts w:ascii="Verdana" w:hAnsi="Verdana"/>
          <w:lang w:val="fr-FR"/>
        </w:rPr>
        <w:t>.</w:t>
      </w:r>
      <w:r w:rsidR="003E0682" w:rsidRPr="00905BCA">
        <w:rPr>
          <w:lang w:val="fr-FR"/>
        </w:rPr>
        <w:t xml:space="preserve"> </w:t>
      </w:r>
      <w:r w:rsidR="003E0682" w:rsidRPr="003E0682">
        <w:rPr>
          <w:rFonts w:ascii="Verdana" w:hAnsi="Verdana"/>
          <w:lang w:val="fr-FR"/>
        </w:rPr>
        <w:t xml:space="preserve">Une dose initiale unique d'Imjudo, anticorps anti-CTLA-4 en association avec l'anticorps </w:t>
      </w:r>
      <w:proofErr w:type="spellStart"/>
      <w:r w:rsidR="003E0682" w:rsidRPr="003E0682">
        <w:rPr>
          <w:rFonts w:ascii="Verdana" w:hAnsi="Verdana"/>
          <w:lang w:val="fr-FR"/>
        </w:rPr>
        <w:t>Imfinzi</w:t>
      </w:r>
      <w:proofErr w:type="spellEnd"/>
      <w:r w:rsidR="003E0682" w:rsidRPr="003E0682">
        <w:rPr>
          <w:rFonts w:ascii="Verdana" w:hAnsi="Verdana"/>
          <w:lang w:val="fr-FR"/>
        </w:rPr>
        <w:t xml:space="preserve"> anti-PD-L1, le jour 1, cycle 1, suivie d'</w:t>
      </w:r>
      <w:proofErr w:type="spellStart"/>
      <w:r w:rsidR="003E0682" w:rsidRPr="003E0682">
        <w:rPr>
          <w:rFonts w:ascii="Verdana" w:hAnsi="Verdana"/>
          <w:lang w:val="fr-FR"/>
        </w:rPr>
        <w:t>Imfinzi</w:t>
      </w:r>
      <w:proofErr w:type="spellEnd"/>
      <w:r w:rsidR="003E0682" w:rsidRPr="003E0682">
        <w:rPr>
          <w:rFonts w:ascii="Verdana" w:hAnsi="Verdana"/>
          <w:lang w:val="fr-FR"/>
        </w:rPr>
        <w:t xml:space="preserve"> en monothérapie toutes les quatre semaines, augmente l'activation cellulaire et la fonction antitumorale T dans plusieurs phases d</w:t>
      </w:r>
      <w:r w:rsidR="005A5CD2" w:rsidRPr="002D13DE">
        <w:rPr>
          <w:rFonts w:ascii="Verdana" w:hAnsi="Verdana"/>
          <w:lang w:val="fr-FR"/>
        </w:rPr>
        <w:t>e la</w:t>
      </w:r>
      <w:r w:rsidR="003E0682" w:rsidRPr="003E0682">
        <w:rPr>
          <w:rFonts w:ascii="Verdana" w:hAnsi="Verdana"/>
          <w:lang w:val="fr-FR"/>
        </w:rPr>
        <w:t xml:space="preserve"> réponse immunitaire et maximise l’immunité antitumorale</w:t>
      </w:r>
      <w:r w:rsidR="00E07CED" w:rsidRPr="00037959">
        <w:rPr>
          <w:rFonts w:ascii="Verdana" w:hAnsi="Verdana"/>
          <w:color w:val="000000"/>
          <w:lang w:val="fr-FR"/>
        </w:rPr>
        <w:t>.</w:t>
      </w:r>
      <w:r w:rsidR="009A609A">
        <w:rPr>
          <w:rFonts w:ascii="Verdana" w:hAnsi="Verdana"/>
          <w:color w:val="000000"/>
          <w:vertAlign w:val="superscript"/>
          <w:lang w:val="fr-FR"/>
        </w:rPr>
        <w:t>7</w:t>
      </w:r>
      <w:r w:rsidR="008E27F3" w:rsidRPr="00037959">
        <w:rPr>
          <w:rFonts w:ascii="Verdana" w:hAnsi="Verdana"/>
          <w:color w:val="000000"/>
          <w:vertAlign w:val="superscript"/>
          <w:lang w:val="fr-FR"/>
        </w:rPr>
        <w:t>,</w:t>
      </w:r>
      <w:r w:rsidR="009A609A">
        <w:rPr>
          <w:rFonts w:ascii="Verdana" w:hAnsi="Verdana"/>
          <w:color w:val="000000"/>
          <w:vertAlign w:val="superscript"/>
          <w:lang w:val="fr-FR"/>
        </w:rPr>
        <w:t>8</w:t>
      </w:r>
    </w:p>
    <w:p w14:paraId="542840E2" w14:textId="77777777" w:rsidR="002E2026" w:rsidRDefault="002E2026" w:rsidP="001A06ED">
      <w:pPr>
        <w:jc w:val="both"/>
        <w:rPr>
          <w:rFonts w:ascii="Verdana" w:hAnsi="Verdana"/>
          <w:color w:val="000000"/>
          <w:lang w:val="fr-FR"/>
        </w:rPr>
      </w:pPr>
    </w:p>
    <w:p w14:paraId="45C0775D" w14:textId="1FE8BFA0" w:rsidR="003B39DE" w:rsidRPr="00A5727E" w:rsidRDefault="002B6225" w:rsidP="001A06ED">
      <w:pPr>
        <w:jc w:val="both"/>
        <w:rPr>
          <w:rFonts w:ascii="Verdana" w:hAnsi="Verdana"/>
          <w:b/>
          <w:bCs/>
          <w:color w:val="4472C4" w:themeColor="accent1"/>
          <w:lang w:val="fr-FR"/>
        </w:rPr>
      </w:pPr>
      <w:r w:rsidRPr="00A5727E">
        <w:rPr>
          <w:rFonts w:ascii="Verdana" w:hAnsi="Verdana"/>
          <w:b/>
          <w:bCs/>
          <w:color w:val="4472C4" w:themeColor="accent1"/>
          <w:lang w:val="fr-FR"/>
        </w:rPr>
        <w:t>L’ÉTUDE HIMALAYA</w:t>
      </w:r>
    </w:p>
    <w:p w14:paraId="5D3AEA20" w14:textId="3A552445" w:rsidR="007F4E3F" w:rsidRPr="00037959" w:rsidRDefault="00B55D11" w:rsidP="007F4E3F">
      <w:pPr>
        <w:jc w:val="both"/>
        <w:rPr>
          <w:rFonts w:ascii="Verdana" w:hAnsi="Verdana"/>
          <w:vertAlign w:val="superscript"/>
          <w:lang w:val="fr-FR"/>
        </w:rPr>
      </w:pPr>
      <w:r w:rsidRPr="00037959">
        <w:rPr>
          <w:rFonts w:ascii="Verdana" w:hAnsi="Verdana"/>
          <w:color w:val="000000"/>
          <w:lang w:val="fr-FR"/>
        </w:rPr>
        <w:t xml:space="preserve">HIMALAYA </w:t>
      </w:r>
      <w:r w:rsidR="00D64B1F">
        <w:rPr>
          <w:rFonts w:ascii="Verdana" w:hAnsi="Verdana"/>
          <w:color w:val="000000"/>
          <w:lang w:val="fr-FR"/>
        </w:rPr>
        <w:t>est</w:t>
      </w:r>
      <w:r w:rsidRPr="00037959">
        <w:rPr>
          <w:rFonts w:ascii="Verdana" w:hAnsi="Verdana"/>
          <w:color w:val="000000"/>
          <w:lang w:val="fr-FR"/>
        </w:rPr>
        <w:t xml:space="preserve"> la première étude de phase III, internationale, multicentrique, randomisée, ouvert</w:t>
      </w:r>
      <w:r w:rsidR="008C3231" w:rsidRPr="002D13DE">
        <w:rPr>
          <w:rFonts w:ascii="Verdana" w:hAnsi="Verdana"/>
          <w:color w:val="000000"/>
          <w:lang w:val="fr-FR"/>
        </w:rPr>
        <w:t>e</w:t>
      </w:r>
      <w:r w:rsidRPr="00037959">
        <w:rPr>
          <w:rFonts w:ascii="Verdana" w:hAnsi="Verdana"/>
          <w:color w:val="000000"/>
          <w:lang w:val="fr-FR"/>
        </w:rPr>
        <w:t xml:space="preserve">, évaluant l’efficacité et la sécurité de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="0055344B" w:rsidRPr="004A7134">
        <w:rPr>
          <w:rFonts w:ascii="Verdana" w:hAnsi="Verdana"/>
          <w:lang w:val="fr-FR"/>
        </w:rPr>
        <w:t xml:space="preserve"> </w:t>
      </w:r>
      <w:r w:rsidRPr="00037959">
        <w:rPr>
          <w:rFonts w:ascii="Verdana" w:hAnsi="Verdana"/>
          <w:color w:val="000000"/>
          <w:lang w:val="fr-FR"/>
        </w:rPr>
        <w:t xml:space="preserve">par rapport au </w:t>
      </w:r>
      <w:proofErr w:type="spellStart"/>
      <w:r w:rsidRPr="00037959">
        <w:rPr>
          <w:rFonts w:ascii="Verdana" w:hAnsi="Verdana"/>
          <w:color w:val="000000"/>
          <w:lang w:val="fr-FR"/>
        </w:rPr>
        <w:t>sorafénib</w:t>
      </w:r>
      <w:proofErr w:type="spellEnd"/>
      <w:r w:rsidRPr="00037959">
        <w:rPr>
          <w:rFonts w:ascii="Verdana" w:hAnsi="Verdana"/>
          <w:color w:val="000000"/>
          <w:lang w:val="fr-FR"/>
        </w:rPr>
        <w:t xml:space="preserve"> chez des patients atteints de </w:t>
      </w:r>
      <w:r w:rsidR="009263F6" w:rsidRPr="00037959">
        <w:rPr>
          <w:rFonts w:ascii="Verdana" w:hAnsi="Verdana"/>
          <w:color w:val="000000"/>
          <w:lang w:val="fr-FR"/>
        </w:rPr>
        <w:t>uHCC</w:t>
      </w:r>
      <w:r w:rsidRPr="00037959">
        <w:rPr>
          <w:rFonts w:ascii="Verdana" w:hAnsi="Verdana"/>
          <w:color w:val="000000"/>
          <w:lang w:val="fr-FR"/>
        </w:rPr>
        <w:t xml:space="preserve"> n’ayant pas reçu de traitement systémique antérieur</w:t>
      </w:r>
      <w:r w:rsidR="004E03DE" w:rsidRPr="00037959">
        <w:rPr>
          <w:rFonts w:ascii="Verdana" w:hAnsi="Verdana"/>
          <w:color w:val="000000"/>
          <w:lang w:val="fr-FR"/>
        </w:rPr>
        <w:t>.</w:t>
      </w:r>
      <w:r w:rsidR="002B6225">
        <w:rPr>
          <w:rFonts w:ascii="Verdana" w:hAnsi="Verdana"/>
          <w:color w:val="000000"/>
          <w:vertAlign w:val="superscript"/>
          <w:lang w:val="fr-FR"/>
        </w:rPr>
        <w:t>7</w:t>
      </w:r>
      <w:r w:rsidR="004E03DE" w:rsidRPr="00037959">
        <w:rPr>
          <w:rFonts w:ascii="Verdana" w:hAnsi="Verdana"/>
          <w:color w:val="000000"/>
          <w:lang w:val="fr-FR"/>
        </w:rPr>
        <w:t xml:space="preserve"> </w:t>
      </w:r>
      <w:r w:rsidR="007F4E3F" w:rsidRPr="00037959">
        <w:rPr>
          <w:rFonts w:ascii="Verdana" w:hAnsi="Verdana"/>
          <w:lang w:val="fr-FR"/>
        </w:rPr>
        <w:t xml:space="preserve">HIMALAYA est la seule étude de phase 3 à ce jour à rapporter un </w:t>
      </w:r>
      <w:r w:rsidR="007F4E3F" w:rsidRPr="00BC5061">
        <w:rPr>
          <w:rFonts w:ascii="Verdana" w:hAnsi="Verdana"/>
          <w:b/>
          <w:bCs/>
          <w:lang w:val="fr-FR"/>
        </w:rPr>
        <w:t xml:space="preserve">suivi </w:t>
      </w:r>
      <w:r w:rsidR="00005D80">
        <w:rPr>
          <w:rFonts w:ascii="Verdana" w:hAnsi="Verdana"/>
          <w:b/>
          <w:bCs/>
          <w:lang w:val="fr-FR"/>
        </w:rPr>
        <w:t>sur 3 et</w:t>
      </w:r>
      <w:r w:rsidR="007F4E3F" w:rsidRPr="00BC5061">
        <w:rPr>
          <w:rFonts w:ascii="Verdana" w:hAnsi="Verdana"/>
          <w:b/>
          <w:bCs/>
          <w:lang w:val="fr-FR"/>
        </w:rPr>
        <w:t xml:space="preserve"> 4 ans</w:t>
      </w:r>
      <w:r w:rsidR="007F4E3F" w:rsidRPr="00037959">
        <w:rPr>
          <w:rFonts w:ascii="Verdana" w:hAnsi="Verdana"/>
          <w:lang w:val="fr-FR"/>
        </w:rPr>
        <w:t xml:space="preserve"> dans le uHCC.</w:t>
      </w:r>
      <w:r w:rsidR="007F4E3F">
        <w:rPr>
          <w:rFonts w:ascii="Verdana" w:hAnsi="Verdana"/>
          <w:vertAlign w:val="superscript"/>
          <w:lang w:val="fr-FR"/>
        </w:rPr>
        <w:t>5</w:t>
      </w:r>
    </w:p>
    <w:p w14:paraId="29D43EEC" w14:textId="3834BCE5" w:rsidR="004E03DE" w:rsidRPr="00037959" w:rsidRDefault="004E03DE" w:rsidP="004E03DE">
      <w:pPr>
        <w:jc w:val="both"/>
        <w:rPr>
          <w:rFonts w:ascii="Verdana" w:hAnsi="Verdana"/>
          <w:color w:val="000000"/>
          <w:lang w:val="fr-FR"/>
        </w:rPr>
      </w:pPr>
    </w:p>
    <w:p w14:paraId="27CC00A0" w14:textId="611D28E3" w:rsidR="007B088E" w:rsidRPr="00A5727E" w:rsidRDefault="007B088E" w:rsidP="007B088E">
      <w:pPr>
        <w:jc w:val="both"/>
        <w:rPr>
          <w:rFonts w:ascii="Verdana" w:hAnsi="Verdana"/>
          <w:b/>
          <w:bCs/>
          <w:color w:val="4472C4" w:themeColor="accent1"/>
          <w:lang w:val="fr-FR"/>
        </w:rPr>
      </w:pPr>
      <w:r w:rsidRPr="00A5727E">
        <w:rPr>
          <w:rFonts w:ascii="Verdana" w:hAnsi="Verdana"/>
          <w:b/>
          <w:bCs/>
          <w:color w:val="4472C4" w:themeColor="accent1"/>
          <w:lang w:val="fr-FR"/>
        </w:rPr>
        <w:t>L’ÉTUDE HIMALAYA</w:t>
      </w:r>
      <w:r>
        <w:rPr>
          <w:rFonts w:ascii="Verdana" w:hAnsi="Verdana"/>
          <w:b/>
          <w:bCs/>
          <w:color w:val="4472C4" w:themeColor="accent1"/>
          <w:lang w:val="fr-FR"/>
        </w:rPr>
        <w:t xml:space="preserve"> - </w:t>
      </w:r>
      <w:r w:rsidR="00897A16" w:rsidRPr="00897A16">
        <w:rPr>
          <w:rFonts w:ascii="Verdana" w:hAnsi="Verdana"/>
          <w:b/>
          <w:bCs/>
          <w:color w:val="4472C4" w:themeColor="accent1"/>
          <w:lang w:val="fr-FR"/>
        </w:rPr>
        <w:t>DONNÉES D'EFFICACITÉ</w:t>
      </w:r>
    </w:p>
    <w:p w14:paraId="20357D2F" w14:textId="50D2996F" w:rsidR="007361BF" w:rsidRPr="007361BF" w:rsidRDefault="007361BF" w:rsidP="007361BF">
      <w:pPr>
        <w:jc w:val="both"/>
        <w:rPr>
          <w:rFonts w:ascii="Verdana" w:hAnsi="Verdana"/>
          <w:color w:val="000000"/>
          <w:lang w:val="fr-CH"/>
        </w:rPr>
      </w:pPr>
      <w:r w:rsidRPr="007361BF">
        <w:rPr>
          <w:rFonts w:ascii="Verdana" w:hAnsi="Verdana"/>
          <w:color w:val="000000"/>
          <w:lang w:val="fr-FR"/>
        </w:rPr>
        <w:t xml:space="preserve">L'étude HIMALAYA a atteint son critère principal de survie globale (SG) </w:t>
      </w:r>
      <w:r>
        <w:rPr>
          <w:rFonts w:ascii="Verdana" w:hAnsi="Verdana"/>
          <w:color w:val="000000"/>
          <w:lang w:val="fr-FR"/>
        </w:rPr>
        <w:t>avec</w:t>
      </w:r>
      <w:r w:rsidRPr="007361BF">
        <w:rPr>
          <w:rFonts w:ascii="Verdana" w:hAnsi="Verdana"/>
          <w:color w:val="000000"/>
          <w:lang w:val="fr-FR"/>
        </w:rPr>
        <w:t xml:space="preserve">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7361BF">
        <w:rPr>
          <w:rFonts w:ascii="Verdana" w:hAnsi="Verdana"/>
          <w:color w:val="000000"/>
          <w:lang w:val="fr-FR"/>
        </w:rPr>
        <w:t xml:space="preserve"> par rapport au </w:t>
      </w:r>
      <w:proofErr w:type="spellStart"/>
      <w:r w:rsidRPr="007361BF">
        <w:rPr>
          <w:rFonts w:ascii="Verdana" w:hAnsi="Verdana"/>
          <w:color w:val="000000"/>
          <w:lang w:val="fr-FR"/>
        </w:rPr>
        <w:t>sorafénib</w:t>
      </w:r>
      <w:proofErr w:type="spellEnd"/>
      <w:r w:rsidRPr="007361BF">
        <w:rPr>
          <w:rFonts w:ascii="Verdana" w:hAnsi="Verdana"/>
          <w:color w:val="000000"/>
          <w:lang w:val="fr-FR"/>
        </w:rPr>
        <w:t xml:space="preserve">. À la date de </w:t>
      </w:r>
      <w:r>
        <w:rPr>
          <w:rFonts w:ascii="Verdana" w:hAnsi="Verdana"/>
          <w:color w:val="000000"/>
          <w:lang w:val="fr-FR"/>
        </w:rPr>
        <w:t>recueil</w:t>
      </w:r>
      <w:r w:rsidRPr="007361BF">
        <w:rPr>
          <w:rFonts w:ascii="Verdana" w:hAnsi="Verdana"/>
          <w:color w:val="000000"/>
          <w:lang w:val="fr-FR"/>
        </w:rPr>
        <w:t xml:space="preserve"> des données, le régime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 xml:space="preserve"> 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7361BF">
        <w:rPr>
          <w:rFonts w:ascii="Verdana" w:hAnsi="Verdana"/>
          <w:color w:val="000000"/>
          <w:lang w:val="fr-FR"/>
        </w:rPr>
        <w:t xml:space="preserve"> a montré un bénéfice de SG statistiquement significatif et cliniquement </w:t>
      </w:r>
      <w:r w:rsidR="00BB6A95">
        <w:rPr>
          <w:rFonts w:ascii="Verdana" w:hAnsi="Verdana"/>
          <w:color w:val="000000"/>
          <w:lang w:val="fr-FR"/>
        </w:rPr>
        <w:t>pertinent</w:t>
      </w:r>
      <w:r w:rsidRPr="007361BF">
        <w:rPr>
          <w:rFonts w:ascii="Verdana" w:hAnsi="Verdana"/>
          <w:color w:val="000000"/>
          <w:lang w:val="fr-FR"/>
        </w:rPr>
        <w:t xml:space="preserve"> par rapport au </w:t>
      </w:r>
      <w:proofErr w:type="spellStart"/>
      <w:r w:rsidRPr="007361BF">
        <w:rPr>
          <w:rFonts w:ascii="Verdana" w:hAnsi="Verdana"/>
          <w:color w:val="000000"/>
          <w:lang w:val="fr-FR"/>
        </w:rPr>
        <w:t>sorafénib</w:t>
      </w:r>
      <w:proofErr w:type="spellEnd"/>
      <w:r w:rsidRPr="007361BF">
        <w:rPr>
          <w:rFonts w:ascii="Verdana" w:hAnsi="Verdana"/>
          <w:color w:val="000000"/>
          <w:lang w:val="fr-FR"/>
        </w:rPr>
        <w:t xml:space="preserve"> chez les patients atteints de carcinome hépatocellulaire non résécable [HR = 0,78 ; IC</w:t>
      </w:r>
      <w:r w:rsidRPr="007361BF">
        <w:rPr>
          <w:rFonts w:ascii="Verdana" w:hAnsi="Verdana"/>
          <w:color w:val="000000"/>
          <w:vertAlign w:val="subscript"/>
          <w:lang w:val="fr-FR"/>
        </w:rPr>
        <w:t>96,02%</w:t>
      </w:r>
      <w:r w:rsidRPr="007361BF">
        <w:rPr>
          <w:rFonts w:ascii="Verdana" w:hAnsi="Verdana"/>
          <w:color w:val="000000"/>
          <w:lang w:val="fr-FR"/>
        </w:rPr>
        <w:t xml:space="preserve"> [0,65 ; 0,93] ; p = 0,0035)].</w:t>
      </w:r>
      <w:r w:rsidR="00F0799A">
        <w:rPr>
          <w:rFonts w:ascii="Verdana" w:hAnsi="Verdana"/>
          <w:color w:val="000000"/>
          <w:vertAlign w:val="superscript"/>
          <w:lang w:val="fr-FR"/>
        </w:rPr>
        <w:t>7</w:t>
      </w:r>
    </w:p>
    <w:p w14:paraId="6C45F6C2" w14:textId="58E12844" w:rsidR="00573B0E" w:rsidRPr="00573B0E" w:rsidRDefault="007361BF" w:rsidP="007361BF">
      <w:pPr>
        <w:pStyle w:val="ListParagraph"/>
        <w:numPr>
          <w:ilvl w:val="0"/>
          <w:numId w:val="8"/>
        </w:numPr>
        <w:jc w:val="both"/>
        <w:rPr>
          <w:rFonts w:ascii="Verdana" w:hAnsi="Verdana"/>
          <w:color w:val="000000"/>
          <w:lang w:val="fr-CH"/>
        </w:rPr>
      </w:pPr>
      <w:r w:rsidRPr="00BB6A95">
        <w:rPr>
          <w:rFonts w:ascii="Verdana" w:hAnsi="Verdana"/>
          <w:color w:val="000000"/>
          <w:lang w:val="fr-FR"/>
        </w:rPr>
        <w:t xml:space="preserve">Les taux de survie pour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BB6A95">
        <w:rPr>
          <w:rFonts w:ascii="Verdana" w:hAnsi="Verdana"/>
          <w:color w:val="000000"/>
          <w:lang w:val="fr-FR"/>
        </w:rPr>
        <w:t xml:space="preserve"> vs. </w:t>
      </w:r>
      <w:proofErr w:type="spellStart"/>
      <w:proofErr w:type="gramStart"/>
      <w:r w:rsidRPr="00BB6A95">
        <w:rPr>
          <w:rFonts w:ascii="Verdana" w:hAnsi="Verdana"/>
          <w:color w:val="000000"/>
          <w:lang w:val="fr-FR"/>
        </w:rPr>
        <w:t>sorafénib</w:t>
      </w:r>
      <w:proofErr w:type="spellEnd"/>
      <w:proofErr w:type="gramEnd"/>
      <w:r w:rsidRPr="00BB6A95">
        <w:rPr>
          <w:rFonts w:ascii="Verdana" w:hAnsi="Verdana"/>
          <w:color w:val="000000"/>
          <w:lang w:val="fr-FR"/>
        </w:rPr>
        <w:t xml:space="preserve"> à 36 mois étaient de 30,</w:t>
      </w:r>
      <w:r w:rsidR="00091DDB">
        <w:rPr>
          <w:rFonts w:ascii="Verdana" w:hAnsi="Verdana"/>
          <w:color w:val="000000"/>
          <w:lang w:val="fr-FR"/>
        </w:rPr>
        <w:t>7</w:t>
      </w:r>
      <w:r w:rsidR="00AA02FA">
        <w:rPr>
          <w:rFonts w:ascii="Verdana" w:hAnsi="Verdana"/>
          <w:color w:val="000000"/>
          <w:lang w:val="fr-FR"/>
        </w:rPr>
        <w:t xml:space="preserve"> </w:t>
      </w:r>
      <w:r w:rsidRPr="00BB6A95">
        <w:rPr>
          <w:rFonts w:ascii="Verdana" w:hAnsi="Verdana"/>
          <w:color w:val="000000"/>
          <w:lang w:val="fr-FR"/>
        </w:rPr>
        <w:t>% (IC</w:t>
      </w:r>
      <w:r w:rsidRPr="00BB6A95">
        <w:rPr>
          <w:rFonts w:ascii="Verdana" w:hAnsi="Verdana"/>
          <w:color w:val="000000"/>
          <w:vertAlign w:val="subscript"/>
          <w:lang w:val="fr-FR"/>
        </w:rPr>
        <w:t>95%</w:t>
      </w:r>
      <w:r w:rsidRPr="00BB6A95">
        <w:rPr>
          <w:rFonts w:ascii="Verdana" w:hAnsi="Verdana"/>
          <w:color w:val="000000"/>
          <w:lang w:val="fr-FR"/>
        </w:rPr>
        <w:t xml:space="preserve"> [25,8 ; 35,7]) et de 20,2</w:t>
      </w:r>
      <w:r w:rsidR="00AA02FA">
        <w:rPr>
          <w:rFonts w:ascii="Verdana" w:hAnsi="Verdana"/>
          <w:color w:val="000000"/>
          <w:lang w:val="fr-FR"/>
        </w:rPr>
        <w:t xml:space="preserve"> </w:t>
      </w:r>
      <w:r w:rsidRPr="00BB6A95">
        <w:rPr>
          <w:rFonts w:ascii="Verdana" w:hAnsi="Verdana"/>
          <w:color w:val="000000"/>
          <w:lang w:val="fr-FR"/>
        </w:rPr>
        <w:t>% (IC</w:t>
      </w:r>
      <w:r w:rsidRPr="00BB6A95">
        <w:rPr>
          <w:rFonts w:ascii="Verdana" w:hAnsi="Verdana"/>
          <w:color w:val="000000"/>
          <w:vertAlign w:val="subscript"/>
          <w:lang w:val="fr-FR"/>
        </w:rPr>
        <w:t>95%</w:t>
      </w:r>
      <w:r w:rsidRPr="00BB6A95">
        <w:rPr>
          <w:rFonts w:ascii="Verdana" w:hAnsi="Verdana"/>
          <w:color w:val="000000"/>
          <w:lang w:val="fr-FR"/>
        </w:rPr>
        <w:t xml:space="preserve"> [15,8 ; 25,1]), respectivement.</w:t>
      </w:r>
      <w:r w:rsidR="00F0799A">
        <w:rPr>
          <w:rFonts w:ascii="Verdana" w:hAnsi="Verdana"/>
          <w:color w:val="000000"/>
          <w:vertAlign w:val="superscript"/>
          <w:lang w:val="fr-FR"/>
        </w:rPr>
        <w:t>7</w:t>
      </w:r>
    </w:p>
    <w:p w14:paraId="0D9D3660" w14:textId="549E52F3" w:rsidR="00F0799A" w:rsidRPr="00F0799A" w:rsidRDefault="007361BF" w:rsidP="00F0799A">
      <w:pPr>
        <w:pStyle w:val="ListParagraph"/>
        <w:numPr>
          <w:ilvl w:val="0"/>
          <w:numId w:val="8"/>
        </w:numPr>
        <w:spacing w:after="0"/>
        <w:jc w:val="both"/>
        <w:rPr>
          <w:rFonts w:ascii="Verdana" w:hAnsi="Verdana"/>
          <w:lang w:val="fr-CH"/>
        </w:rPr>
      </w:pPr>
      <w:r w:rsidRPr="00573B0E">
        <w:rPr>
          <w:rFonts w:ascii="Verdana" w:hAnsi="Verdana"/>
          <w:color w:val="000000"/>
          <w:lang w:val="fr-FR"/>
        </w:rPr>
        <w:t>L'association a également montré une amélioration des taux de réponse objective (ORR) par investigateur : 20,1</w:t>
      </w:r>
      <w:r w:rsidR="00AA02FA">
        <w:rPr>
          <w:rFonts w:ascii="Verdana" w:hAnsi="Verdana"/>
          <w:color w:val="000000"/>
          <w:lang w:val="fr-FR"/>
        </w:rPr>
        <w:t xml:space="preserve"> </w:t>
      </w:r>
      <w:r w:rsidRPr="00573B0E">
        <w:rPr>
          <w:rFonts w:ascii="Verdana" w:hAnsi="Verdana"/>
          <w:color w:val="000000"/>
          <w:lang w:val="fr-FR"/>
        </w:rPr>
        <w:t xml:space="preserve">% avec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573B0E">
        <w:rPr>
          <w:rFonts w:ascii="Verdana" w:hAnsi="Verdana"/>
          <w:color w:val="000000"/>
          <w:lang w:val="fr-FR"/>
        </w:rPr>
        <w:t xml:space="preserve"> vs. 5,1</w:t>
      </w:r>
      <w:r w:rsidR="00AA02FA">
        <w:rPr>
          <w:rFonts w:ascii="Verdana" w:hAnsi="Verdana"/>
          <w:color w:val="000000"/>
          <w:lang w:val="fr-FR"/>
        </w:rPr>
        <w:t xml:space="preserve"> </w:t>
      </w:r>
      <w:r w:rsidRPr="00573B0E">
        <w:rPr>
          <w:rFonts w:ascii="Verdana" w:hAnsi="Verdana"/>
          <w:color w:val="000000"/>
          <w:lang w:val="fr-FR"/>
        </w:rPr>
        <w:t>% avec soraf</w:t>
      </w:r>
      <w:r w:rsidR="00846D0C">
        <w:rPr>
          <w:rFonts w:ascii="Verdana" w:hAnsi="Verdana"/>
          <w:color w:val="000000"/>
          <w:lang w:val="fr-FR"/>
        </w:rPr>
        <w:t>é</w:t>
      </w:r>
      <w:r w:rsidRPr="00573B0E">
        <w:rPr>
          <w:rFonts w:ascii="Verdana" w:hAnsi="Verdana"/>
          <w:color w:val="000000"/>
          <w:lang w:val="fr-FR"/>
        </w:rPr>
        <w:t>nib.</w:t>
      </w:r>
      <w:r w:rsidR="00F0799A">
        <w:rPr>
          <w:rFonts w:ascii="Verdana" w:hAnsi="Verdana"/>
          <w:color w:val="000000"/>
          <w:vertAlign w:val="superscript"/>
          <w:lang w:val="fr-FR"/>
        </w:rPr>
        <w:t>7</w:t>
      </w:r>
    </w:p>
    <w:p w14:paraId="320C9D7D" w14:textId="1C6B1F59" w:rsidR="009E1AAE" w:rsidRPr="00F0799A" w:rsidRDefault="009E1AAE" w:rsidP="00F0799A">
      <w:pPr>
        <w:jc w:val="both"/>
        <w:rPr>
          <w:rFonts w:ascii="Verdana" w:hAnsi="Verdana"/>
          <w:lang w:val="fr-CH"/>
        </w:rPr>
      </w:pPr>
      <w:r w:rsidRPr="00F0799A">
        <w:rPr>
          <w:rFonts w:ascii="Verdana" w:hAnsi="Verdana"/>
          <w:lang w:val="fr-FR"/>
        </w:rPr>
        <w:t>Lors de l’</w:t>
      </w:r>
      <w:r w:rsidRPr="00F0799A">
        <w:rPr>
          <w:rFonts w:ascii="Verdana" w:hAnsi="Verdana"/>
          <w:i/>
          <w:iCs/>
          <w:lang w:val="fr-FR"/>
        </w:rPr>
        <w:t xml:space="preserve">ESMO </w:t>
      </w:r>
      <w:r w:rsidR="00F0799A">
        <w:rPr>
          <w:rFonts w:ascii="Verdana" w:hAnsi="Verdana"/>
          <w:i/>
          <w:iCs/>
          <w:lang w:val="fr-FR"/>
        </w:rPr>
        <w:t>GI</w:t>
      </w:r>
      <w:r w:rsidRPr="00F0799A">
        <w:rPr>
          <w:rFonts w:ascii="Verdana" w:hAnsi="Verdana"/>
          <w:i/>
          <w:iCs/>
          <w:lang w:val="fr-FR"/>
        </w:rPr>
        <w:t xml:space="preserve"> 2023</w:t>
      </w:r>
      <w:r w:rsidRPr="00F0799A">
        <w:rPr>
          <w:rFonts w:ascii="Verdana" w:hAnsi="Verdana"/>
          <w:lang w:val="fr-FR"/>
        </w:rPr>
        <w:t>, une analyse actualisée de la SG (78</w:t>
      </w:r>
      <w:r w:rsidR="007D50B6" w:rsidRPr="00F0799A">
        <w:rPr>
          <w:rFonts w:ascii="Verdana" w:hAnsi="Verdana"/>
          <w:lang w:val="fr-FR"/>
        </w:rPr>
        <w:t xml:space="preserve"> </w:t>
      </w:r>
      <w:r w:rsidRPr="00F0799A">
        <w:rPr>
          <w:rFonts w:ascii="Verdana" w:hAnsi="Verdana"/>
          <w:lang w:val="fr-FR"/>
        </w:rPr>
        <w:t>% de maturité des données) a été présentée.</w:t>
      </w:r>
      <w:r w:rsidR="005D7FE4">
        <w:rPr>
          <w:rFonts w:ascii="Verdana" w:hAnsi="Verdana"/>
          <w:vertAlign w:val="superscript"/>
          <w:lang w:val="fr-FR"/>
        </w:rPr>
        <w:t>5</w:t>
      </w:r>
      <w:r w:rsidRPr="00F0799A">
        <w:rPr>
          <w:rFonts w:ascii="Verdana" w:hAnsi="Verdana"/>
          <w:lang w:val="fr-FR"/>
        </w:rPr>
        <w:t xml:space="preserve"> </w:t>
      </w:r>
      <w:proofErr w:type="spellStart"/>
      <w:r w:rsidR="0055344B">
        <w:rPr>
          <w:rFonts w:ascii="Verdana" w:hAnsi="Verdana"/>
          <w:color w:val="000000"/>
          <w:lang w:val="fr-FR"/>
        </w:rPr>
        <w:t>T</w:t>
      </w:r>
      <w:r w:rsidR="0055344B" w:rsidRPr="00AE6259">
        <w:rPr>
          <w:rFonts w:ascii="Verdana" w:hAnsi="Verdana"/>
          <w:color w:val="000000"/>
          <w:lang w:val="fr-FR"/>
        </w:rPr>
        <w:t>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F0799A">
        <w:rPr>
          <w:rFonts w:ascii="Verdana" w:hAnsi="Verdana"/>
          <w:lang w:val="fr-FR"/>
        </w:rPr>
        <w:t xml:space="preserve"> a démontré un taux de survie sans précédent d'un sur quatre à 4 ans</w:t>
      </w:r>
      <w:r w:rsidR="00C53DF2" w:rsidRPr="00F0799A">
        <w:rPr>
          <w:rFonts w:ascii="Verdana" w:hAnsi="Verdana"/>
          <w:lang w:val="fr-FR"/>
        </w:rPr>
        <w:t>, confirmant le plateau à long terme de la SG (</w:t>
      </w:r>
      <w:r w:rsidR="007D50B6" w:rsidRPr="00F0799A">
        <w:rPr>
          <w:rFonts w:ascii="Verdana" w:hAnsi="Verdana"/>
          <w:lang w:val="fr-FR"/>
        </w:rPr>
        <w:t>f</w:t>
      </w:r>
      <w:r w:rsidR="00C53DF2" w:rsidRPr="00F0799A">
        <w:rPr>
          <w:rFonts w:ascii="Verdana" w:hAnsi="Verdana"/>
          <w:lang w:val="fr-FR"/>
        </w:rPr>
        <w:t>igure 1).</w:t>
      </w:r>
      <w:r w:rsidR="005D7FE4">
        <w:rPr>
          <w:rFonts w:ascii="Verdana" w:hAnsi="Verdana"/>
          <w:vertAlign w:val="superscript"/>
          <w:lang w:val="fr-FR"/>
        </w:rPr>
        <w:t>5</w:t>
      </w:r>
    </w:p>
    <w:p w14:paraId="080754C9" w14:textId="688BD12D" w:rsidR="00BA31F5" w:rsidRPr="00BA31F5" w:rsidRDefault="009E1AAE" w:rsidP="009E1AAE">
      <w:pPr>
        <w:pStyle w:val="ListParagraph"/>
        <w:numPr>
          <w:ilvl w:val="0"/>
          <w:numId w:val="9"/>
        </w:numPr>
        <w:jc w:val="both"/>
        <w:rPr>
          <w:rFonts w:ascii="Verdana" w:hAnsi="Verdana"/>
          <w:lang w:val="fr-CH"/>
        </w:rPr>
      </w:pPr>
      <w:r w:rsidRPr="00971FCC">
        <w:rPr>
          <w:rFonts w:ascii="Verdana" w:hAnsi="Verdana"/>
          <w:lang w:val="fr-FR"/>
        </w:rPr>
        <w:t xml:space="preserve">Le </w:t>
      </w:r>
      <w:proofErr w:type="spellStart"/>
      <w:r w:rsidR="00F21087" w:rsidRPr="00355A48">
        <w:rPr>
          <w:rFonts w:ascii="Verdana" w:hAnsi="Verdana"/>
          <w:i/>
          <w:iCs/>
          <w:lang w:val="fr-FR"/>
        </w:rPr>
        <w:t>hazard</w:t>
      </w:r>
      <w:proofErr w:type="spellEnd"/>
      <w:r w:rsidR="00F21087" w:rsidRPr="00355A48">
        <w:rPr>
          <w:rFonts w:ascii="Verdana" w:hAnsi="Verdana"/>
          <w:i/>
          <w:iCs/>
          <w:lang w:val="fr-FR"/>
        </w:rPr>
        <w:t xml:space="preserve"> ratio</w:t>
      </w:r>
      <w:r w:rsidRPr="00971FCC">
        <w:rPr>
          <w:rFonts w:ascii="Verdana" w:hAnsi="Verdana"/>
          <w:lang w:val="fr-FR"/>
        </w:rPr>
        <w:t xml:space="preserve"> de la SG par rapport au </w:t>
      </w:r>
      <w:proofErr w:type="spellStart"/>
      <w:r w:rsidRPr="00971FCC">
        <w:rPr>
          <w:rFonts w:ascii="Verdana" w:hAnsi="Verdana"/>
          <w:lang w:val="fr-FR"/>
        </w:rPr>
        <w:t>sorafénib</w:t>
      </w:r>
      <w:proofErr w:type="spellEnd"/>
      <w:r w:rsidRPr="00971FCC">
        <w:rPr>
          <w:rFonts w:ascii="Verdana" w:hAnsi="Verdana"/>
          <w:lang w:val="fr-FR"/>
        </w:rPr>
        <w:t xml:space="preserve"> [HR = 0,78 (IC</w:t>
      </w:r>
      <w:r w:rsidRPr="00971FCC">
        <w:rPr>
          <w:rFonts w:ascii="Verdana" w:hAnsi="Verdana"/>
          <w:vertAlign w:val="subscript"/>
          <w:lang w:val="fr-FR"/>
        </w:rPr>
        <w:t>95%</w:t>
      </w:r>
      <w:r w:rsidRPr="00971FCC">
        <w:rPr>
          <w:rFonts w:ascii="Verdana" w:hAnsi="Verdana"/>
          <w:lang w:val="fr-FR"/>
        </w:rPr>
        <w:t xml:space="preserve"> [0,67 ; 0,92] ; p = 0,0037)] et le taux de SG estimé à 36 mois (30,7</w:t>
      </w:r>
      <w:r w:rsidR="007D50B6">
        <w:rPr>
          <w:rFonts w:ascii="Verdana" w:hAnsi="Verdana"/>
          <w:lang w:val="fr-FR"/>
        </w:rPr>
        <w:t xml:space="preserve"> </w:t>
      </w:r>
      <w:r w:rsidRPr="00971FCC">
        <w:rPr>
          <w:rFonts w:ascii="Verdana" w:hAnsi="Verdana"/>
          <w:lang w:val="fr-FR"/>
        </w:rPr>
        <w:t xml:space="preserve">%) pour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7479CE">
        <w:rPr>
          <w:rFonts w:ascii="Verdana" w:hAnsi="Verdana"/>
          <w:color w:val="000000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971FCC">
        <w:rPr>
          <w:rFonts w:ascii="Verdana" w:hAnsi="Verdana"/>
          <w:lang w:val="fr-FR"/>
        </w:rPr>
        <w:t xml:space="preserve"> étaient cohérents avec l'analyse principale.</w:t>
      </w:r>
      <w:r w:rsidR="005D7FE4">
        <w:rPr>
          <w:rFonts w:ascii="Verdana" w:hAnsi="Verdana"/>
          <w:vertAlign w:val="superscript"/>
          <w:lang w:val="fr-FR"/>
        </w:rPr>
        <w:t>5</w:t>
      </w:r>
    </w:p>
    <w:p w14:paraId="6942914A" w14:textId="54B0254D" w:rsidR="00B343EC" w:rsidRPr="00BF08F2" w:rsidRDefault="009E1AAE" w:rsidP="00D76EDC">
      <w:pPr>
        <w:pStyle w:val="ListParagraph"/>
        <w:numPr>
          <w:ilvl w:val="0"/>
          <w:numId w:val="9"/>
        </w:numPr>
        <w:jc w:val="both"/>
        <w:rPr>
          <w:rFonts w:ascii="Verdana" w:hAnsi="Verdana"/>
          <w:vertAlign w:val="superscript"/>
          <w:lang w:val="fr-FR"/>
        </w:rPr>
      </w:pPr>
      <w:r w:rsidRPr="00BA31F5">
        <w:rPr>
          <w:rFonts w:ascii="Verdana" w:hAnsi="Verdana"/>
          <w:lang w:val="fr-FR"/>
        </w:rPr>
        <w:t>Les taux de survie à 4 ans étaient de 25,2</w:t>
      </w:r>
      <w:r w:rsidR="007D50B6">
        <w:rPr>
          <w:rFonts w:ascii="Verdana" w:hAnsi="Verdana"/>
          <w:lang w:val="fr-FR"/>
        </w:rPr>
        <w:t xml:space="preserve"> </w:t>
      </w:r>
      <w:r w:rsidRPr="00BA31F5">
        <w:rPr>
          <w:rFonts w:ascii="Verdana" w:hAnsi="Verdana"/>
          <w:lang w:val="fr-FR"/>
        </w:rPr>
        <w:t xml:space="preserve">% dans le bras </w:t>
      </w:r>
      <w:proofErr w:type="spellStart"/>
      <w:r w:rsidR="0055344B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55344B">
        <w:rPr>
          <w:rFonts w:ascii="Verdana" w:hAnsi="Verdana"/>
          <w:lang w:val="fr-FR"/>
        </w:rPr>
        <w:t>/</w:t>
      </w:r>
      <w:proofErr w:type="spellStart"/>
      <w:r w:rsidR="0055344B">
        <w:rPr>
          <w:rFonts w:ascii="Verdana" w:hAnsi="Verdana"/>
          <w:lang w:val="fr-FR"/>
        </w:rPr>
        <w:t>durvalumab</w:t>
      </w:r>
      <w:proofErr w:type="spellEnd"/>
      <w:r w:rsidRPr="00BA31F5">
        <w:rPr>
          <w:rFonts w:ascii="Verdana" w:hAnsi="Verdana"/>
          <w:lang w:val="fr-FR"/>
        </w:rPr>
        <w:t xml:space="preserve"> et de 15,1</w:t>
      </w:r>
      <w:r w:rsidR="007D50B6">
        <w:rPr>
          <w:rFonts w:ascii="Verdana" w:hAnsi="Verdana"/>
          <w:lang w:val="fr-FR"/>
        </w:rPr>
        <w:t xml:space="preserve"> </w:t>
      </w:r>
      <w:r w:rsidRPr="00BA31F5">
        <w:rPr>
          <w:rFonts w:ascii="Verdana" w:hAnsi="Verdana"/>
          <w:lang w:val="fr-FR"/>
        </w:rPr>
        <w:t xml:space="preserve">% dans le bras </w:t>
      </w:r>
      <w:proofErr w:type="spellStart"/>
      <w:r w:rsidRPr="00BA31F5">
        <w:rPr>
          <w:rFonts w:ascii="Verdana" w:hAnsi="Verdana"/>
          <w:lang w:val="fr-FR"/>
        </w:rPr>
        <w:t>sorafénib</w:t>
      </w:r>
      <w:proofErr w:type="spellEnd"/>
      <w:r w:rsidRPr="00BA31F5">
        <w:rPr>
          <w:rFonts w:ascii="Verdana" w:hAnsi="Verdana"/>
          <w:lang w:val="fr-FR"/>
        </w:rPr>
        <w:t xml:space="preserve">. 1 patient sur 4 du bras </w:t>
      </w:r>
      <w:r w:rsidR="0055344B">
        <w:rPr>
          <w:rFonts w:ascii="Verdana" w:hAnsi="Verdana"/>
          <w:lang w:val="fr-FR"/>
        </w:rPr>
        <w:t>TREMELIMUMAB/DURVALUMAB</w:t>
      </w:r>
      <w:r w:rsidRPr="00BA31F5">
        <w:rPr>
          <w:rFonts w:ascii="Verdana" w:hAnsi="Verdana"/>
          <w:lang w:val="fr-FR"/>
        </w:rPr>
        <w:t xml:space="preserve"> était encore en vie après 48 mois.</w:t>
      </w:r>
      <w:r w:rsidR="005D7FE4">
        <w:rPr>
          <w:rFonts w:ascii="Verdana" w:hAnsi="Verdana"/>
          <w:vertAlign w:val="superscript"/>
          <w:lang w:val="fr-FR"/>
        </w:rPr>
        <w:t>5</w:t>
      </w:r>
    </w:p>
    <w:p w14:paraId="7C9BB91A" w14:textId="5EC2C2E6" w:rsidR="00DF7A2E" w:rsidRPr="00037959" w:rsidRDefault="00E848C9" w:rsidP="00E27E45">
      <w:pPr>
        <w:jc w:val="center"/>
        <w:rPr>
          <w:color w:val="FF0000"/>
          <w:lang w:val="fr-FR"/>
        </w:rPr>
      </w:pPr>
      <w:r w:rsidRPr="00037959">
        <w:rPr>
          <w:noProof/>
          <w:color w:val="FF0000"/>
          <w:lang w:val="fr-FR"/>
        </w:rPr>
        <w:lastRenderedPageBreak/>
        <w:drawing>
          <wp:inline distT="0" distB="0" distL="0" distR="0" wp14:anchorId="0B2FE8F2" wp14:editId="21FFACC8">
            <wp:extent cx="5686372" cy="2504365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780" cy="257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62C39B" w14:textId="427C15B0" w:rsidR="00DF7A2E" w:rsidRPr="00037959" w:rsidRDefault="00D22C03" w:rsidP="00E27E45">
      <w:pPr>
        <w:jc w:val="center"/>
        <w:rPr>
          <w:rFonts w:ascii="Verdana" w:hAnsi="Verdana"/>
          <w:sz w:val="16"/>
          <w:szCs w:val="16"/>
          <w:lang w:val="fr-FR"/>
        </w:rPr>
      </w:pPr>
      <w:bookmarkStart w:id="0" w:name="_Hlk139284436"/>
      <w:r w:rsidRPr="00037959">
        <w:rPr>
          <w:rFonts w:ascii="Verdana" w:hAnsi="Verdana"/>
          <w:sz w:val="16"/>
          <w:szCs w:val="16"/>
          <w:lang w:val="fr-FR"/>
        </w:rPr>
        <w:t xml:space="preserve">Figure </w:t>
      </w:r>
      <w:r w:rsidR="00ED5B81" w:rsidRPr="00037959">
        <w:rPr>
          <w:rFonts w:ascii="Verdana" w:hAnsi="Verdana"/>
          <w:sz w:val="16"/>
          <w:szCs w:val="16"/>
          <w:lang w:val="fr-FR"/>
        </w:rPr>
        <w:t>1 :</w:t>
      </w:r>
      <w:r w:rsidRPr="00037959">
        <w:rPr>
          <w:rFonts w:ascii="Verdana" w:hAnsi="Verdana"/>
          <w:sz w:val="16"/>
          <w:szCs w:val="16"/>
          <w:lang w:val="fr-FR"/>
        </w:rPr>
        <w:t xml:space="preserve"> </w:t>
      </w:r>
      <w:r w:rsidR="00DF089D" w:rsidRPr="00037959">
        <w:rPr>
          <w:rFonts w:ascii="Verdana" w:hAnsi="Verdana"/>
          <w:sz w:val="16"/>
          <w:szCs w:val="16"/>
          <w:lang w:val="fr-FR"/>
        </w:rPr>
        <w:t>Courbe de Kaplan-Meier de la survie globale</w:t>
      </w:r>
      <w:r w:rsidR="005D7FE4">
        <w:rPr>
          <w:rFonts w:ascii="Verdana" w:hAnsi="Verdana"/>
          <w:sz w:val="16"/>
          <w:szCs w:val="16"/>
          <w:vertAlign w:val="superscript"/>
          <w:lang w:val="fr-FR"/>
        </w:rPr>
        <w:t>5</w:t>
      </w:r>
      <w:r w:rsidR="0035776B" w:rsidRPr="00037959">
        <w:rPr>
          <w:rFonts w:ascii="Verdana" w:hAnsi="Verdana"/>
          <w:sz w:val="16"/>
          <w:szCs w:val="16"/>
          <w:vertAlign w:val="superscript"/>
          <w:lang w:val="fr-FR"/>
        </w:rPr>
        <w:t xml:space="preserve"> </w:t>
      </w:r>
    </w:p>
    <w:p w14:paraId="795A6B62" w14:textId="17CA2C4C" w:rsidR="0035776B" w:rsidRPr="00037959" w:rsidRDefault="00AD6DF4" w:rsidP="00E27E45">
      <w:pPr>
        <w:jc w:val="center"/>
        <w:rPr>
          <w:rFonts w:ascii="Verdana" w:hAnsi="Verdana"/>
          <w:sz w:val="14"/>
          <w:szCs w:val="14"/>
          <w:lang w:val="fr-FR"/>
        </w:rPr>
      </w:pPr>
      <w:proofErr w:type="spellStart"/>
      <w:proofErr w:type="gramStart"/>
      <w:r w:rsidRPr="00037959">
        <w:rPr>
          <w:rFonts w:ascii="Verdana" w:hAnsi="Verdana"/>
          <w:sz w:val="14"/>
          <w:szCs w:val="14"/>
          <w:vertAlign w:val="superscript"/>
          <w:lang w:val="fr-FR"/>
        </w:rPr>
        <w:t>a</w:t>
      </w:r>
      <w:r w:rsidRPr="00037959">
        <w:rPr>
          <w:rFonts w:ascii="Verdana" w:hAnsi="Verdana"/>
          <w:sz w:val="14"/>
          <w:szCs w:val="14"/>
          <w:lang w:val="fr-FR"/>
        </w:rPr>
        <w:t>T</w:t>
      </w:r>
      <w:r w:rsidR="00DF089D" w:rsidRPr="00037959">
        <w:rPr>
          <w:rFonts w:ascii="Verdana" w:hAnsi="Verdana"/>
          <w:sz w:val="14"/>
          <w:szCs w:val="14"/>
          <w:lang w:val="fr-FR"/>
        </w:rPr>
        <w:t>rémélimumab</w:t>
      </w:r>
      <w:proofErr w:type="spellEnd"/>
      <w:proofErr w:type="gramEnd"/>
      <w:r w:rsidRPr="00037959">
        <w:rPr>
          <w:rFonts w:ascii="Verdana" w:hAnsi="Verdana"/>
          <w:sz w:val="14"/>
          <w:szCs w:val="14"/>
          <w:lang w:val="fr-FR"/>
        </w:rPr>
        <w:t xml:space="preserve"> 300 mg + </w:t>
      </w:r>
      <w:proofErr w:type="spellStart"/>
      <w:r w:rsidR="00DB7DC5" w:rsidRPr="00037959">
        <w:rPr>
          <w:rFonts w:ascii="Verdana" w:hAnsi="Verdana"/>
          <w:sz w:val="14"/>
          <w:szCs w:val="14"/>
          <w:lang w:val="fr-FR"/>
        </w:rPr>
        <w:t>durvalumab</w:t>
      </w:r>
      <w:proofErr w:type="spellEnd"/>
      <w:r w:rsidRPr="00037959">
        <w:rPr>
          <w:rFonts w:ascii="Verdana" w:hAnsi="Verdana"/>
          <w:sz w:val="14"/>
          <w:szCs w:val="14"/>
          <w:lang w:val="fr-FR"/>
        </w:rPr>
        <w:t xml:space="preserve"> 1500 mg (1 dose) + </w:t>
      </w:r>
      <w:proofErr w:type="spellStart"/>
      <w:r w:rsidR="00DB7DC5" w:rsidRPr="00037959">
        <w:rPr>
          <w:rFonts w:ascii="Verdana" w:hAnsi="Verdana"/>
          <w:sz w:val="14"/>
          <w:szCs w:val="14"/>
          <w:lang w:val="fr-FR"/>
        </w:rPr>
        <w:t>durvalumab</w:t>
      </w:r>
      <w:proofErr w:type="spellEnd"/>
      <w:r w:rsidRPr="00037959">
        <w:rPr>
          <w:rFonts w:ascii="Verdana" w:hAnsi="Verdana"/>
          <w:sz w:val="14"/>
          <w:szCs w:val="14"/>
          <w:lang w:val="fr-FR"/>
        </w:rPr>
        <w:t xml:space="preserve"> 1500 mg </w:t>
      </w:r>
      <w:r w:rsidR="000A736A" w:rsidRPr="00037959">
        <w:rPr>
          <w:rFonts w:ascii="Verdana" w:hAnsi="Verdana"/>
          <w:sz w:val="14"/>
          <w:szCs w:val="14"/>
          <w:lang w:val="fr-FR"/>
        </w:rPr>
        <w:t>toutes les 4 semaines</w:t>
      </w:r>
      <w:r w:rsidR="00DB7DC5" w:rsidRPr="00037959">
        <w:rPr>
          <w:rFonts w:ascii="Verdana" w:hAnsi="Verdana"/>
          <w:sz w:val="14"/>
          <w:szCs w:val="14"/>
          <w:lang w:val="fr-FR"/>
        </w:rPr>
        <w:t xml:space="preserve">; </w:t>
      </w:r>
      <w:r w:rsidR="00A34612" w:rsidRPr="00037959">
        <w:rPr>
          <w:rFonts w:ascii="Verdana" w:hAnsi="Verdana"/>
          <w:sz w:val="14"/>
          <w:szCs w:val="14"/>
          <w:lang w:val="fr-FR"/>
        </w:rPr>
        <w:t>mo</w:t>
      </w:r>
      <w:r w:rsidR="000B3814">
        <w:rPr>
          <w:rFonts w:ascii="Verdana" w:hAnsi="Verdana"/>
          <w:sz w:val="14"/>
          <w:szCs w:val="14"/>
          <w:lang w:val="fr-FR"/>
        </w:rPr>
        <w:t xml:space="preserve"> </w:t>
      </w:r>
      <w:r w:rsidR="00A34612" w:rsidRPr="00037959">
        <w:rPr>
          <w:rFonts w:ascii="Verdana" w:hAnsi="Verdana"/>
          <w:sz w:val="14"/>
          <w:szCs w:val="14"/>
          <w:lang w:val="fr-FR"/>
        </w:rPr>
        <w:t>: mo</w:t>
      </w:r>
      <w:r w:rsidR="000A736A" w:rsidRPr="00037959">
        <w:rPr>
          <w:rFonts w:ascii="Verdana" w:hAnsi="Verdana"/>
          <w:sz w:val="14"/>
          <w:szCs w:val="14"/>
          <w:lang w:val="fr-FR"/>
        </w:rPr>
        <w:t>i</w:t>
      </w:r>
      <w:r w:rsidR="00A34612" w:rsidRPr="00037959">
        <w:rPr>
          <w:rFonts w:ascii="Verdana" w:hAnsi="Verdana"/>
          <w:sz w:val="14"/>
          <w:szCs w:val="14"/>
          <w:lang w:val="fr-FR"/>
        </w:rPr>
        <w:t>s</w:t>
      </w:r>
      <w:r w:rsidR="00224E92" w:rsidRPr="00037959">
        <w:rPr>
          <w:rFonts w:ascii="Verdana" w:hAnsi="Verdana"/>
          <w:sz w:val="14"/>
          <w:szCs w:val="14"/>
          <w:lang w:val="fr-FR"/>
        </w:rPr>
        <w:t>;</w:t>
      </w:r>
      <w:r w:rsidR="00A34612" w:rsidRPr="00037959">
        <w:rPr>
          <w:rFonts w:ascii="Verdana" w:hAnsi="Verdana"/>
          <w:sz w:val="14"/>
          <w:szCs w:val="14"/>
          <w:lang w:val="fr-FR"/>
        </w:rPr>
        <w:t xml:space="preserve"> OS</w:t>
      </w:r>
      <w:r w:rsidR="000B3814">
        <w:rPr>
          <w:rFonts w:ascii="Verdana" w:hAnsi="Verdana"/>
          <w:sz w:val="14"/>
          <w:szCs w:val="14"/>
          <w:lang w:val="fr-FR"/>
        </w:rPr>
        <w:t xml:space="preserve"> </w:t>
      </w:r>
      <w:r w:rsidR="00A34612" w:rsidRPr="00037959">
        <w:rPr>
          <w:rFonts w:ascii="Verdana" w:hAnsi="Verdana"/>
          <w:sz w:val="14"/>
          <w:szCs w:val="14"/>
          <w:lang w:val="fr-FR"/>
        </w:rPr>
        <w:t xml:space="preserve">: </w:t>
      </w:r>
      <w:r w:rsidR="000A736A" w:rsidRPr="00037959">
        <w:rPr>
          <w:rFonts w:ascii="Verdana" w:hAnsi="Verdana"/>
          <w:sz w:val="14"/>
          <w:szCs w:val="14"/>
          <w:lang w:val="fr-FR"/>
        </w:rPr>
        <w:t>survie globale</w:t>
      </w:r>
    </w:p>
    <w:bookmarkEnd w:id="0"/>
    <w:p w14:paraId="119AD403" w14:textId="77777777" w:rsidR="008E5533" w:rsidRPr="00037959" w:rsidRDefault="008E5533" w:rsidP="000F6007">
      <w:pPr>
        <w:jc w:val="both"/>
        <w:rPr>
          <w:rFonts w:ascii="Verdana" w:hAnsi="Verdana"/>
          <w:lang w:val="fr-FR"/>
        </w:rPr>
      </w:pPr>
    </w:p>
    <w:p w14:paraId="433534D3" w14:textId="73EAD462" w:rsidR="006333FF" w:rsidRDefault="006333FF" w:rsidP="000F6007">
      <w:pPr>
        <w:jc w:val="both"/>
        <w:rPr>
          <w:rFonts w:ascii="Verdana" w:hAnsi="Verdana"/>
          <w:lang w:val="fr-FR"/>
        </w:rPr>
      </w:pPr>
      <w:r w:rsidRPr="00A5727E">
        <w:rPr>
          <w:rFonts w:ascii="Verdana" w:hAnsi="Verdana"/>
          <w:b/>
          <w:bCs/>
          <w:color w:val="4472C4" w:themeColor="accent1"/>
          <w:lang w:val="fr-FR"/>
        </w:rPr>
        <w:t>L’ÉTUDE HIMALAYA</w:t>
      </w:r>
      <w:r>
        <w:rPr>
          <w:rFonts w:ascii="Verdana" w:hAnsi="Verdana"/>
          <w:b/>
          <w:bCs/>
          <w:color w:val="4472C4" w:themeColor="accent1"/>
          <w:lang w:val="fr-FR"/>
        </w:rPr>
        <w:t xml:space="preserve"> - </w:t>
      </w:r>
      <w:r w:rsidRPr="006333FF">
        <w:rPr>
          <w:rFonts w:ascii="Verdana" w:hAnsi="Verdana"/>
          <w:b/>
          <w:bCs/>
          <w:color w:val="4472C4" w:themeColor="accent1"/>
          <w:lang w:val="fr-FR"/>
        </w:rPr>
        <w:t>DONNÉES DE SÉCURITÉ</w:t>
      </w:r>
    </w:p>
    <w:p w14:paraId="68C02737" w14:textId="26C993C8" w:rsidR="00756D0E" w:rsidRPr="00037959" w:rsidRDefault="00A74AB4" w:rsidP="000F6007">
      <w:pPr>
        <w:jc w:val="both"/>
        <w:rPr>
          <w:rFonts w:ascii="Verdana" w:hAnsi="Verdana"/>
          <w:lang w:val="fr-FR"/>
        </w:rPr>
      </w:pPr>
      <w:r w:rsidRPr="00037959">
        <w:rPr>
          <w:rFonts w:ascii="Verdana" w:hAnsi="Verdana"/>
          <w:lang w:val="fr-FR"/>
        </w:rPr>
        <w:t>Le profil de sécurité d’emploi et de tolérance de l’association était cohérent avec les profils connus d’</w:t>
      </w:r>
      <w:proofErr w:type="spellStart"/>
      <w:r w:rsidRPr="00037959">
        <w:rPr>
          <w:rFonts w:ascii="Verdana" w:hAnsi="Verdana"/>
          <w:lang w:val="fr-FR"/>
        </w:rPr>
        <w:t>Imfinzi</w:t>
      </w:r>
      <w:proofErr w:type="spellEnd"/>
      <w:r w:rsidRPr="00037959">
        <w:rPr>
          <w:rFonts w:ascii="Verdana" w:hAnsi="Verdana"/>
          <w:lang w:val="fr-FR"/>
        </w:rPr>
        <w:t xml:space="preserve"> et d’</w:t>
      </w:r>
      <w:proofErr w:type="spellStart"/>
      <w:r w:rsidRPr="00037959">
        <w:rPr>
          <w:rFonts w:ascii="Verdana" w:hAnsi="Verdana"/>
          <w:lang w:val="fr-FR"/>
        </w:rPr>
        <w:t>Imjudo</w:t>
      </w:r>
      <w:proofErr w:type="spellEnd"/>
      <w:r w:rsidRPr="00037959">
        <w:rPr>
          <w:rFonts w:ascii="Verdana" w:hAnsi="Verdana"/>
          <w:lang w:val="fr-FR"/>
        </w:rPr>
        <w:t xml:space="preserve"> et aucun nouveau signal de sécurité d’emploi n’a été observé</w:t>
      </w:r>
      <w:r w:rsidR="00B000AB" w:rsidRPr="00037959">
        <w:rPr>
          <w:rFonts w:ascii="Verdana" w:hAnsi="Verdana"/>
          <w:lang w:val="fr-FR"/>
        </w:rPr>
        <w:t>.</w:t>
      </w:r>
      <w:r w:rsidR="005F6BBE">
        <w:rPr>
          <w:rFonts w:ascii="Verdana" w:hAnsi="Verdana"/>
          <w:vertAlign w:val="superscript"/>
          <w:lang w:val="fr-FR"/>
        </w:rPr>
        <w:t>7</w:t>
      </w:r>
      <w:r w:rsidR="00756D0E" w:rsidRPr="00037959">
        <w:rPr>
          <w:rFonts w:ascii="Verdana" w:hAnsi="Verdana"/>
          <w:lang w:val="fr-FR"/>
        </w:rPr>
        <w:t xml:space="preserve"> </w:t>
      </w:r>
    </w:p>
    <w:p w14:paraId="560F19C5" w14:textId="76D3CB3D" w:rsidR="00756D0E" w:rsidRDefault="00746428" w:rsidP="00756D0E">
      <w:pPr>
        <w:jc w:val="both"/>
        <w:rPr>
          <w:rFonts w:ascii="Verdana" w:hAnsi="Verdana"/>
          <w:vertAlign w:val="superscript"/>
          <w:lang w:val="fr-FR"/>
        </w:rPr>
      </w:pPr>
      <w:r w:rsidRPr="00037959">
        <w:rPr>
          <w:rFonts w:ascii="Verdana" w:hAnsi="Verdana"/>
          <w:lang w:val="fr-FR"/>
        </w:rPr>
        <w:t xml:space="preserve">L’incidence des effets indésirables liés au traitement de grade 3/4 était de </w:t>
      </w:r>
      <w:r w:rsidR="00735DF5" w:rsidRPr="00037959">
        <w:rPr>
          <w:rFonts w:ascii="Verdana" w:hAnsi="Verdana"/>
          <w:lang w:val="fr-FR"/>
        </w:rPr>
        <w:t>2</w:t>
      </w:r>
      <w:r w:rsidRPr="00037959">
        <w:rPr>
          <w:rFonts w:ascii="Verdana" w:hAnsi="Verdana"/>
          <w:lang w:val="fr-FR"/>
        </w:rPr>
        <w:t>5</w:t>
      </w:r>
      <w:r w:rsidR="00735DF5" w:rsidRPr="00037959">
        <w:rPr>
          <w:rFonts w:ascii="Verdana" w:hAnsi="Verdana"/>
          <w:lang w:val="fr-FR"/>
        </w:rPr>
        <w:t>,8</w:t>
      </w:r>
      <w:r w:rsidRPr="00037959">
        <w:rPr>
          <w:rFonts w:ascii="Verdana" w:hAnsi="Verdana"/>
          <w:lang w:val="fr-FR"/>
        </w:rPr>
        <w:t xml:space="preserve"> % pour le groupe </w:t>
      </w:r>
      <w:proofErr w:type="spellStart"/>
      <w:r w:rsidR="007479CE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7479CE">
        <w:rPr>
          <w:rFonts w:ascii="Verdana" w:hAnsi="Verdana"/>
          <w:lang w:val="fr-FR"/>
        </w:rPr>
        <w:t>/</w:t>
      </w:r>
      <w:proofErr w:type="spellStart"/>
      <w:r w:rsidR="007479CE">
        <w:rPr>
          <w:rFonts w:ascii="Verdana" w:hAnsi="Verdana"/>
          <w:lang w:val="fr-FR"/>
        </w:rPr>
        <w:t>durvalumab</w:t>
      </w:r>
      <w:proofErr w:type="spellEnd"/>
      <w:r w:rsidRPr="00037959">
        <w:rPr>
          <w:rFonts w:ascii="Verdana" w:hAnsi="Verdana"/>
          <w:lang w:val="fr-FR"/>
        </w:rPr>
        <w:t xml:space="preserve"> et de </w:t>
      </w:r>
      <w:r w:rsidR="00735DF5" w:rsidRPr="00037959">
        <w:rPr>
          <w:rFonts w:ascii="Verdana" w:hAnsi="Verdana"/>
          <w:lang w:val="fr-FR"/>
        </w:rPr>
        <w:t>36,9</w:t>
      </w:r>
      <w:r w:rsidRPr="00037959">
        <w:rPr>
          <w:rFonts w:ascii="Verdana" w:hAnsi="Verdana"/>
          <w:lang w:val="fr-FR"/>
        </w:rPr>
        <w:t xml:space="preserve"> % pour le bras sorafénib</w:t>
      </w:r>
      <w:r w:rsidR="000F6007" w:rsidRPr="00037959">
        <w:rPr>
          <w:rFonts w:ascii="Verdana" w:hAnsi="Verdana"/>
          <w:lang w:val="fr-FR"/>
        </w:rPr>
        <w:t>.</w:t>
      </w:r>
      <w:r w:rsidR="005F6BBE">
        <w:rPr>
          <w:rFonts w:ascii="Verdana" w:hAnsi="Verdana"/>
          <w:vertAlign w:val="superscript"/>
          <w:lang w:val="fr-FR"/>
        </w:rPr>
        <w:t>7</w:t>
      </w:r>
    </w:p>
    <w:p w14:paraId="0D68AE29" w14:textId="5A1A335C" w:rsidR="0014045F" w:rsidRDefault="0014045F" w:rsidP="00756D0E">
      <w:pPr>
        <w:jc w:val="both"/>
        <w:rPr>
          <w:rFonts w:ascii="Verdana" w:hAnsi="Verdana"/>
          <w:vertAlign w:val="superscript"/>
          <w:lang w:val="fr-FR"/>
        </w:rPr>
      </w:pPr>
      <w:bookmarkStart w:id="1" w:name="_Hlk149570822"/>
      <w:r w:rsidRPr="00961A3E">
        <w:rPr>
          <w:rFonts w:ascii="Verdana" w:hAnsi="Verdana"/>
          <w:lang w:val="fr-FR"/>
        </w:rPr>
        <w:t xml:space="preserve">De plus, </w:t>
      </w:r>
      <w:proofErr w:type="spellStart"/>
      <w:r w:rsidR="007479CE" w:rsidRPr="00AE6259">
        <w:rPr>
          <w:rFonts w:ascii="Verdana" w:hAnsi="Verdana"/>
          <w:color w:val="000000"/>
          <w:lang w:val="fr-FR"/>
        </w:rPr>
        <w:t>trémélimumab</w:t>
      </w:r>
      <w:proofErr w:type="spellEnd"/>
      <w:r w:rsidR="007479CE">
        <w:rPr>
          <w:rFonts w:ascii="Verdana" w:hAnsi="Verdana"/>
          <w:lang w:val="fr-FR"/>
        </w:rPr>
        <w:t>/</w:t>
      </w:r>
      <w:proofErr w:type="spellStart"/>
      <w:r w:rsidR="007479CE">
        <w:rPr>
          <w:rFonts w:ascii="Verdana" w:hAnsi="Verdana"/>
          <w:lang w:val="fr-FR"/>
        </w:rPr>
        <w:t>durvalumab</w:t>
      </w:r>
      <w:proofErr w:type="spellEnd"/>
      <w:r w:rsidRPr="00961A3E">
        <w:rPr>
          <w:rFonts w:ascii="Verdana" w:hAnsi="Verdana"/>
          <w:lang w:val="fr-FR"/>
        </w:rPr>
        <w:t xml:space="preserve"> a augmenté la durée avant détérioration</w:t>
      </w:r>
      <w:r w:rsidR="00DD50A4" w:rsidRPr="002D13DE">
        <w:rPr>
          <w:rFonts w:ascii="Verdana" w:hAnsi="Verdana"/>
          <w:lang w:val="fr-FR"/>
        </w:rPr>
        <w:t xml:space="preserve"> </w:t>
      </w:r>
      <w:r w:rsidR="00DD50A4" w:rsidRPr="00961A3E">
        <w:rPr>
          <w:rFonts w:ascii="Verdana" w:hAnsi="Verdana"/>
          <w:lang w:val="fr-FR"/>
        </w:rPr>
        <w:t>de la qualité de vie</w:t>
      </w:r>
      <w:r w:rsidRPr="00961A3E">
        <w:rPr>
          <w:rFonts w:ascii="Verdana" w:hAnsi="Verdana"/>
          <w:lang w:val="fr-FR"/>
        </w:rPr>
        <w:t xml:space="preserve"> (Time To </w:t>
      </w:r>
      <w:proofErr w:type="spellStart"/>
      <w:r w:rsidRPr="00961A3E">
        <w:rPr>
          <w:rFonts w:ascii="Verdana" w:hAnsi="Verdana"/>
          <w:lang w:val="fr-FR"/>
        </w:rPr>
        <w:t>Deterioration</w:t>
      </w:r>
      <w:proofErr w:type="spellEnd"/>
      <w:r w:rsidRPr="00961A3E">
        <w:rPr>
          <w:rFonts w:ascii="Verdana" w:hAnsi="Verdana"/>
          <w:lang w:val="fr-FR"/>
        </w:rPr>
        <w:t xml:space="preserve">, TTD) par rapport au </w:t>
      </w:r>
      <w:proofErr w:type="spellStart"/>
      <w:r w:rsidRPr="00961A3E">
        <w:rPr>
          <w:rFonts w:ascii="Verdana" w:hAnsi="Verdana"/>
          <w:lang w:val="fr-FR"/>
        </w:rPr>
        <w:t>sorafénib</w:t>
      </w:r>
      <w:proofErr w:type="spellEnd"/>
      <w:r w:rsidR="00224B48">
        <w:rPr>
          <w:rFonts w:ascii="Verdana" w:hAnsi="Verdana"/>
          <w:lang w:val="fr-FR"/>
        </w:rPr>
        <w:t xml:space="preserve"> </w:t>
      </w:r>
      <w:r w:rsidR="00224B48" w:rsidRPr="00224B48">
        <w:rPr>
          <w:rFonts w:ascii="Verdana" w:hAnsi="Verdana"/>
          <w:lang w:val="fr-FR"/>
        </w:rPr>
        <w:t>[HR 0,76 (IC</w:t>
      </w:r>
      <w:r w:rsidR="00224B48" w:rsidRPr="00EA207B">
        <w:rPr>
          <w:rFonts w:ascii="Verdana" w:hAnsi="Verdana"/>
          <w:vertAlign w:val="subscript"/>
          <w:lang w:val="fr-FR"/>
        </w:rPr>
        <w:t>95%</w:t>
      </w:r>
      <w:r w:rsidR="00224B48" w:rsidRPr="00224B48">
        <w:rPr>
          <w:rFonts w:ascii="Verdana" w:hAnsi="Verdana"/>
          <w:lang w:val="fr-FR"/>
        </w:rPr>
        <w:t> : 0,61</w:t>
      </w:r>
      <w:r w:rsidR="00EA207B">
        <w:rPr>
          <w:rFonts w:ascii="Verdana" w:hAnsi="Verdana"/>
          <w:lang w:val="fr-FR"/>
        </w:rPr>
        <w:t xml:space="preserve"> ; </w:t>
      </w:r>
      <w:r w:rsidR="00224B48" w:rsidRPr="00224B48">
        <w:rPr>
          <w:rFonts w:ascii="Verdana" w:hAnsi="Verdana"/>
          <w:lang w:val="fr-FR"/>
        </w:rPr>
        <w:t>0,96)]</w:t>
      </w:r>
      <w:r w:rsidRPr="00961A3E">
        <w:rPr>
          <w:rFonts w:ascii="Verdana" w:hAnsi="Verdana"/>
          <w:lang w:val="fr-FR"/>
        </w:rPr>
        <w:t>.</w:t>
      </w:r>
      <w:r w:rsidR="00905BCA">
        <w:rPr>
          <w:rFonts w:ascii="Verdana" w:hAnsi="Verdana"/>
          <w:vertAlign w:val="superscript"/>
          <w:lang w:val="fr-FR"/>
        </w:rPr>
        <w:t>6</w:t>
      </w:r>
    </w:p>
    <w:p w14:paraId="185E3859" w14:textId="77777777" w:rsidR="006A4DDD" w:rsidRDefault="006A4DDD" w:rsidP="00756D0E">
      <w:pPr>
        <w:jc w:val="both"/>
        <w:rPr>
          <w:rFonts w:ascii="Verdana" w:hAnsi="Verdana"/>
          <w:vertAlign w:val="superscript"/>
          <w:lang w:val="fr-FR"/>
        </w:rPr>
      </w:pPr>
    </w:p>
    <w:p w14:paraId="4135685E" w14:textId="77777777" w:rsidR="006A4DDD" w:rsidRPr="00EA53EA" w:rsidRDefault="006A4DDD" w:rsidP="006A4DDD">
      <w:pPr>
        <w:jc w:val="both"/>
        <w:rPr>
          <w:rFonts w:ascii="Verdana" w:hAnsi="Verdana"/>
          <w:lang w:val="fr-FR"/>
        </w:rPr>
      </w:pPr>
      <w:r w:rsidRPr="00EA53EA">
        <w:rPr>
          <w:rFonts w:ascii="Verdana" w:hAnsi="Verdana"/>
          <w:lang w:val="fr-FR"/>
        </w:rPr>
        <w:t>Je serai heureux de répondre à toutes vos questions.</w:t>
      </w:r>
    </w:p>
    <w:p w14:paraId="38F1BD02" w14:textId="77777777" w:rsidR="006A4DDD" w:rsidRDefault="006A4DDD" w:rsidP="006A4DDD">
      <w:pPr>
        <w:jc w:val="both"/>
        <w:rPr>
          <w:rFonts w:ascii="Verdana" w:hAnsi="Verdana"/>
          <w:lang w:val="de-DE"/>
        </w:rPr>
      </w:pPr>
      <w:r w:rsidRPr="00EA53EA">
        <w:rPr>
          <w:rFonts w:ascii="Verdana" w:hAnsi="Verdana"/>
          <w:lang w:val="de-DE"/>
        </w:rPr>
        <w:t xml:space="preserve">Merci </w:t>
      </w:r>
      <w:proofErr w:type="spellStart"/>
      <w:r w:rsidRPr="00EA53EA">
        <w:rPr>
          <w:rFonts w:ascii="Verdana" w:hAnsi="Verdana"/>
          <w:lang w:val="de-DE"/>
        </w:rPr>
        <w:t>beaucoup</w:t>
      </w:r>
      <w:proofErr w:type="spellEnd"/>
      <w:r w:rsidRPr="00EA53EA">
        <w:rPr>
          <w:rFonts w:ascii="Verdana" w:hAnsi="Verdana"/>
          <w:lang w:val="de-DE"/>
        </w:rPr>
        <w:t xml:space="preserve"> et </w:t>
      </w:r>
      <w:proofErr w:type="spellStart"/>
      <w:r w:rsidRPr="00EA53EA">
        <w:rPr>
          <w:rFonts w:ascii="Verdana" w:hAnsi="Verdana"/>
          <w:lang w:val="de-DE"/>
        </w:rPr>
        <w:t>cordialement</w:t>
      </w:r>
      <w:proofErr w:type="spellEnd"/>
    </w:p>
    <w:p w14:paraId="2CECCDEB" w14:textId="77777777" w:rsidR="006A4DDD" w:rsidRPr="00300D54" w:rsidRDefault="006A4DDD" w:rsidP="006A4DDD">
      <w:pPr>
        <w:jc w:val="both"/>
        <w:rPr>
          <w:rFonts w:ascii="Verdana" w:hAnsi="Verdana"/>
          <w:lang w:val="de-DE"/>
        </w:rPr>
      </w:pPr>
      <w:r w:rsidRPr="000D6DC8">
        <w:rPr>
          <w:rFonts w:ascii="Verdana" w:hAnsi="Verdana"/>
          <w:highlight w:val="yellow"/>
          <w:lang w:val="de-DE"/>
        </w:rPr>
        <w:t>XXX</w:t>
      </w:r>
    </w:p>
    <w:p w14:paraId="35C8AA78" w14:textId="77777777" w:rsidR="006A4DDD" w:rsidRDefault="006A4DDD" w:rsidP="00756D0E">
      <w:pPr>
        <w:jc w:val="both"/>
        <w:rPr>
          <w:rFonts w:ascii="Verdana" w:hAnsi="Verdana"/>
          <w:lang w:val="fr-FR"/>
        </w:rPr>
      </w:pPr>
    </w:p>
    <w:p w14:paraId="1EAAAB00" w14:textId="77777777" w:rsidR="008F0D7D" w:rsidRPr="008415DD" w:rsidRDefault="008F0D7D" w:rsidP="008F0D7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proofErr w:type="spellStart"/>
      <w:r w:rsidRPr="008415DD">
        <w:rPr>
          <w:rStyle w:val="normaltextrun"/>
          <w:rFonts w:ascii="Verdana" w:hAnsi="Verdana" w:cs="Calibri"/>
          <w:sz w:val="22"/>
          <w:szCs w:val="22"/>
          <w:lang w:val="en-US"/>
        </w:rPr>
        <w:t>Annexe</w:t>
      </w:r>
      <w:proofErr w:type="spellEnd"/>
      <w:r w:rsidRPr="008415DD">
        <w:rPr>
          <w:rStyle w:val="normaltextrun"/>
          <w:rFonts w:ascii="Verdana" w:hAnsi="Verdana" w:cs="Calibri"/>
          <w:sz w:val="22"/>
          <w:szCs w:val="22"/>
          <w:lang w:val="en-US"/>
        </w:rPr>
        <w:t>:</w:t>
      </w:r>
      <w:r w:rsidRPr="008415DD">
        <w:rPr>
          <w:rStyle w:val="eop"/>
          <w:rFonts w:ascii="Verdana" w:hAnsi="Verdana"/>
          <w:sz w:val="22"/>
          <w:szCs w:val="22"/>
        </w:rPr>
        <w:t> </w:t>
      </w:r>
    </w:p>
    <w:p w14:paraId="372E84E3" w14:textId="1D1AE829" w:rsidR="006A4DDD" w:rsidRPr="008415DD" w:rsidRDefault="008F0D7D" w:rsidP="008415D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18"/>
          <w:szCs w:val="18"/>
        </w:rPr>
      </w:pPr>
      <w:proofErr w:type="spellStart"/>
      <w:r w:rsidRPr="008415DD">
        <w:rPr>
          <w:rStyle w:val="normaltextrun"/>
          <w:rFonts w:ascii="Verdana" w:hAnsi="Verdana" w:cs="Calibri"/>
          <w:sz w:val="22"/>
          <w:szCs w:val="22"/>
          <w:shd w:val="clear" w:color="auto" w:fill="FFFF00"/>
        </w:rPr>
        <w:t>Anamnèse</w:t>
      </w:r>
      <w:proofErr w:type="spellEnd"/>
      <w:r w:rsidRPr="008415DD">
        <w:rPr>
          <w:rStyle w:val="normaltextrun"/>
          <w:rFonts w:ascii="Verdana" w:hAnsi="Verdana" w:cs="Calibri"/>
          <w:sz w:val="22"/>
          <w:szCs w:val="22"/>
          <w:shd w:val="clear" w:color="auto" w:fill="FFFF00"/>
        </w:rPr>
        <w:t xml:space="preserve"> </w:t>
      </w:r>
      <w:proofErr w:type="spellStart"/>
      <w:r w:rsidRPr="008415DD">
        <w:rPr>
          <w:rStyle w:val="normaltextrun"/>
          <w:rFonts w:ascii="Verdana" w:hAnsi="Verdana" w:cs="Calibri"/>
          <w:sz w:val="22"/>
          <w:szCs w:val="22"/>
          <w:shd w:val="clear" w:color="auto" w:fill="FFFF00"/>
        </w:rPr>
        <w:t>patiente</w:t>
      </w:r>
      <w:proofErr w:type="spellEnd"/>
      <w:r w:rsidRPr="008415DD">
        <w:rPr>
          <w:rStyle w:val="eop"/>
          <w:rFonts w:ascii="Verdana" w:hAnsi="Verdana"/>
          <w:sz w:val="22"/>
          <w:szCs w:val="22"/>
        </w:rPr>
        <w:t> </w:t>
      </w:r>
    </w:p>
    <w:p w14:paraId="31EFEF68" w14:textId="77777777" w:rsidR="00647783" w:rsidRDefault="00647783" w:rsidP="0066702A">
      <w:pPr>
        <w:jc w:val="both"/>
        <w:rPr>
          <w:rFonts w:ascii="Verdana" w:hAnsi="Verdana"/>
          <w:sz w:val="16"/>
          <w:szCs w:val="16"/>
          <w:lang w:val="fr-FR"/>
        </w:rPr>
      </w:pPr>
      <w:bookmarkStart w:id="2" w:name="_Hlk144814837"/>
      <w:bookmarkEnd w:id="1"/>
    </w:p>
    <w:p w14:paraId="0A74466C" w14:textId="77777777" w:rsidR="007479CE" w:rsidRPr="0066702A" w:rsidRDefault="007479CE" w:rsidP="0066702A">
      <w:pPr>
        <w:jc w:val="both"/>
        <w:rPr>
          <w:rFonts w:ascii="Verdana" w:hAnsi="Verdana"/>
          <w:sz w:val="16"/>
          <w:szCs w:val="16"/>
          <w:lang w:val="fr-FR"/>
        </w:rPr>
      </w:pPr>
    </w:p>
    <w:p w14:paraId="29419607" w14:textId="3C1D1DF8" w:rsidR="00054EA7" w:rsidRPr="00037959" w:rsidRDefault="00647783" w:rsidP="00647783">
      <w:pPr>
        <w:jc w:val="both"/>
        <w:rPr>
          <w:rFonts w:ascii="Verdana" w:hAnsi="Verdana"/>
          <w:sz w:val="16"/>
          <w:szCs w:val="16"/>
          <w:lang w:val="fr-FR"/>
        </w:rPr>
      </w:pPr>
      <w:r w:rsidRPr="00037959">
        <w:rPr>
          <w:rFonts w:ascii="Verdana" w:hAnsi="Verdana"/>
          <w:sz w:val="16"/>
          <w:szCs w:val="16"/>
          <w:lang w:val="fr-FR"/>
        </w:rPr>
        <w:t>Références</w:t>
      </w:r>
      <w:r w:rsidR="00D24EE0">
        <w:rPr>
          <w:rFonts w:ascii="Verdana" w:hAnsi="Verdana"/>
          <w:sz w:val="16"/>
          <w:szCs w:val="16"/>
          <w:lang w:val="fr-FR"/>
        </w:rPr>
        <w:t xml:space="preserve"> </w:t>
      </w:r>
      <w:r w:rsidR="00054EA7" w:rsidRPr="00037959">
        <w:rPr>
          <w:rFonts w:ascii="Verdana" w:hAnsi="Verdana"/>
          <w:sz w:val="16"/>
          <w:szCs w:val="16"/>
          <w:lang w:val="fr-FR"/>
        </w:rPr>
        <w:t>:</w:t>
      </w:r>
      <w:r w:rsidRPr="00037959">
        <w:rPr>
          <w:rFonts w:ascii="Verdana" w:hAnsi="Verdana"/>
          <w:sz w:val="16"/>
          <w:szCs w:val="16"/>
          <w:lang w:val="fr-FR"/>
        </w:rPr>
        <w:t xml:space="preserve"> </w:t>
      </w:r>
    </w:p>
    <w:bookmarkEnd w:id="2"/>
    <w:p w14:paraId="273A2E90" w14:textId="77777777" w:rsidR="0066702A" w:rsidRPr="0066702A" w:rsidRDefault="0066702A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66702A">
        <w:rPr>
          <w:rFonts w:ascii="Verdana" w:hAnsi="Verdana"/>
          <w:sz w:val="16"/>
          <w:szCs w:val="16"/>
        </w:rPr>
        <w:t>Imjudo</w:t>
      </w:r>
      <w:r w:rsidRPr="0066702A">
        <w:rPr>
          <w:rFonts w:ascii="Verdana" w:hAnsi="Verdana"/>
          <w:sz w:val="16"/>
          <w:szCs w:val="16"/>
          <w:vertAlign w:val="superscript"/>
        </w:rPr>
        <w:t>®</w:t>
      </w:r>
      <w:r w:rsidRPr="0066702A">
        <w:rPr>
          <w:rFonts w:ascii="Verdana" w:hAnsi="Verdana"/>
          <w:sz w:val="16"/>
          <w:szCs w:val="16"/>
        </w:rPr>
        <w:t xml:space="preserve"> [Information for Healthcare Professionals] </w:t>
      </w:r>
      <w:hyperlink r:id="rId12" w:history="1">
        <w:r w:rsidRPr="0066702A">
          <w:rPr>
            <w:rStyle w:val="Hyperlink"/>
            <w:rFonts w:ascii="Verdana" w:hAnsi="Verdana"/>
            <w:sz w:val="16"/>
            <w:szCs w:val="16"/>
          </w:rPr>
          <w:t>https://www.swissmedicinfo.ch</w:t>
        </w:r>
      </w:hyperlink>
    </w:p>
    <w:p w14:paraId="7E190E45" w14:textId="77777777" w:rsidR="0066702A" w:rsidRPr="0066702A" w:rsidRDefault="00000000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hyperlink r:id="rId13" w:history="1">
        <w:r w:rsidR="0066702A" w:rsidRPr="0066702A">
          <w:rPr>
            <w:rStyle w:val="Hyperlink"/>
            <w:rFonts w:ascii="Verdana" w:hAnsi="Verdana"/>
            <w:sz w:val="16"/>
            <w:szCs w:val="16"/>
          </w:rPr>
          <w:t>https://www.esmo.org/guidelines/esmo-mcbs/esmo-mcbs-for-solid-tumours/esmo-mcbs-scorecards/scorecard-358-1</w:t>
        </w:r>
      </w:hyperlink>
      <w:r w:rsidR="0066702A" w:rsidRPr="0066702A">
        <w:rPr>
          <w:rFonts w:ascii="Verdana" w:hAnsi="Verdana"/>
          <w:sz w:val="16"/>
          <w:szCs w:val="16"/>
        </w:rPr>
        <w:t xml:space="preserve"> accessed in July 2023</w:t>
      </w:r>
    </w:p>
    <w:p w14:paraId="2245639B" w14:textId="5D527EFA" w:rsidR="0066702A" w:rsidRPr="006F2DB3" w:rsidRDefault="006F2DB3" w:rsidP="006F2DB3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BA0F1C">
        <w:rPr>
          <w:rFonts w:ascii="Verdana" w:hAnsi="Verdana"/>
          <w:sz w:val="16"/>
          <w:szCs w:val="16"/>
        </w:rPr>
        <w:t>NCCN Guidelines Hepatocellular Carcinoma Version 2.2023 www.NCCN.org. Accessed December 2023.</w:t>
      </w:r>
    </w:p>
    <w:p w14:paraId="5B0AF292" w14:textId="77777777" w:rsidR="0066702A" w:rsidRPr="0066702A" w:rsidRDefault="0066702A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66702A">
        <w:rPr>
          <w:rFonts w:ascii="Verdana" w:hAnsi="Verdana"/>
          <w:sz w:val="16"/>
          <w:szCs w:val="16"/>
        </w:rPr>
        <w:t>Reig M. et al. BCLC strategy for prognosis prediction and treatment recommendation: The 2022 update. Journal of Hepatology 2022, 76(3), 681-693.</w:t>
      </w:r>
    </w:p>
    <w:p w14:paraId="4E08ACE5" w14:textId="77777777" w:rsidR="0066702A" w:rsidRPr="0066702A" w:rsidRDefault="0066702A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66702A">
        <w:rPr>
          <w:rFonts w:ascii="Verdana" w:hAnsi="Verdana"/>
          <w:sz w:val="16"/>
          <w:szCs w:val="16"/>
        </w:rPr>
        <w:t>Sangro B, et al. Four-year overall survival update from the Phase 3 HIMALAYA study of tremelimumab plus durvalumab in unresectable hepatocellular carcinoma. Presented at ESMO World Congress on Gastrointestinal Cancer 2023, 28</w:t>
      </w:r>
      <w:r w:rsidRPr="0066702A">
        <w:rPr>
          <w:rFonts w:ascii="Verdana" w:hAnsi="Verdana"/>
          <w:sz w:val="16"/>
          <w:szCs w:val="16"/>
          <w:vertAlign w:val="superscript"/>
        </w:rPr>
        <w:t>th</w:t>
      </w:r>
      <w:r w:rsidRPr="0066702A">
        <w:rPr>
          <w:rFonts w:ascii="Verdana" w:hAnsi="Verdana"/>
          <w:sz w:val="16"/>
          <w:szCs w:val="16"/>
        </w:rPr>
        <w:t xml:space="preserve"> June-1</w:t>
      </w:r>
      <w:r w:rsidRPr="0066702A">
        <w:rPr>
          <w:rFonts w:ascii="Verdana" w:hAnsi="Verdana"/>
          <w:sz w:val="16"/>
          <w:szCs w:val="16"/>
          <w:vertAlign w:val="superscript"/>
        </w:rPr>
        <w:t>st</w:t>
      </w:r>
      <w:r w:rsidRPr="0066702A">
        <w:rPr>
          <w:rFonts w:ascii="Verdana" w:hAnsi="Verdana"/>
          <w:sz w:val="16"/>
          <w:szCs w:val="16"/>
        </w:rPr>
        <w:t xml:space="preserve"> July Barcelona, Spain.</w:t>
      </w:r>
    </w:p>
    <w:p w14:paraId="3DDDAF93" w14:textId="77777777" w:rsidR="0066702A" w:rsidRPr="0066702A" w:rsidRDefault="0066702A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5E24F9">
        <w:rPr>
          <w:rFonts w:ascii="Verdana" w:hAnsi="Verdana"/>
          <w:sz w:val="16"/>
          <w:szCs w:val="16"/>
          <w:lang w:val="fr-CH"/>
        </w:rPr>
        <w:t xml:space="preserve">Sangro B, Galle PR, Kelley RK, et al.  </w:t>
      </w:r>
      <w:r w:rsidRPr="0066702A">
        <w:rPr>
          <w:rFonts w:ascii="Verdana" w:hAnsi="Verdana"/>
          <w:sz w:val="16"/>
          <w:szCs w:val="16"/>
        </w:rPr>
        <w:t xml:space="preserve">Patient-reported outcomes from the Phase 3 HIMALAYA study of tremelimumab plus durvalumab in unresectable hepatocellular carcinoma [poster]. Presented at 2022 ASCO Annual Meeting, June 3-7, </w:t>
      </w:r>
      <w:proofErr w:type="gramStart"/>
      <w:r w:rsidRPr="0066702A">
        <w:rPr>
          <w:rFonts w:ascii="Verdana" w:hAnsi="Verdana"/>
          <w:sz w:val="16"/>
          <w:szCs w:val="16"/>
        </w:rPr>
        <w:t>2022;</w:t>
      </w:r>
      <w:proofErr w:type="gramEnd"/>
      <w:r w:rsidRPr="0066702A">
        <w:rPr>
          <w:rFonts w:ascii="Verdana" w:hAnsi="Verdana"/>
          <w:sz w:val="16"/>
          <w:szCs w:val="16"/>
        </w:rPr>
        <w:t xml:space="preserve"> Chicago, Illinois. Poster 4074. </w:t>
      </w:r>
    </w:p>
    <w:p w14:paraId="7CA560D5" w14:textId="77777777" w:rsidR="0066702A" w:rsidRPr="0066702A" w:rsidRDefault="0066702A" w:rsidP="0066702A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66702A">
        <w:rPr>
          <w:rFonts w:ascii="Verdana" w:hAnsi="Verdana"/>
          <w:sz w:val="16"/>
          <w:szCs w:val="16"/>
          <w:lang w:val="fr-FR"/>
        </w:rPr>
        <w:t xml:space="preserve">Abou-Alfa G, et al.  </w:t>
      </w:r>
      <w:r w:rsidRPr="0066702A">
        <w:rPr>
          <w:rFonts w:ascii="Verdana" w:hAnsi="Verdana"/>
          <w:sz w:val="16"/>
          <w:szCs w:val="16"/>
        </w:rPr>
        <w:t xml:space="preserve">Tremelimumab plus Durvalumab in Unresectable Hepatocellular Carcinoma [article and supplementary appendix]. </w:t>
      </w:r>
      <w:r w:rsidRPr="0066702A">
        <w:rPr>
          <w:rFonts w:ascii="Verdana" w:hAnsi="Verdana"/>
          <w:i/>
          <w:sz w:val="16"/>
          <w:szCs w:val="16"/>
        </w:rPr>
        <w:t>NEJM Evid</w:t>
      </w:r>
      <w:r w:rsidRPr="0066702A">
        <w:rPr>
          <w:rFonts w:ascii="Verdana" w:hAnsi="Verdana"/>
          <w:sz w:val="16"/>
          <w:szCs w:val="16"/>
        </w:rPr>
        <w:t>. 2022;1(8). DOI: 10.1056/EVIDoa2100070</w:t>
      </w:r>
    </w:p>
    <w:p w14:paraId="63BAF196" w14:textId="1E229901" w:rsidR="007479CE" w:rsidRPr="00741832" w:rsidRDefault="0066702A" w:rsidP="007479CE">
      <w:pPr>
        <w:pStyle w:val="ListParagraph"/>
        <w:numPr>
          <w:ilvl w:val="0"/>
          <w:numId w:val="2"/>
        </w:numPr>
        <w:rPr>
          <w:rFonts w:ascii="Verdana" w:hAnsi="Verdana"/>
          <w:sz w:val="16"/>
          <w:szCs w:val="16"/>
        </w:rPr>
      </w:pPr>
      <w:r w:rsidRPr="007479CE">
        <w:rPr>
          <w:rFonts w:ascii="Verdana" w:hAnsi="Verdana"/>
          <w:sz w:val="16"/>
          <w:szCs w:val="16"/>
        </w:rPr>
        <w:t xml:space="preserve">Kelley et al. Safety, Efficacy, and Pharmacodynamics of Tremelimumab Plus Durvalumab for Patients </w:t>
      </w:r>
      <w:proofErr w:type="gramStart"/>
      <w:r w:rsidRPr="007479CE">
        <w:rPr>
          <w:rFonts w:ascii="Verdana" w:hAnsi="Verdana"/>
          <w:sz w:val="16"/>
          <w:szCs w:val="16"/>
        </w:rPr>
        <w:t>With</w:t>
      </w:r>
      <w:proofErr w:type="gramEnd"/>
      <w:r w:rsidRPr="007479CE">
        <w:rPr>
          <w:rFonts w:ascii="Verdana" w:hAnsi="Verdana"/>
          <w:sz w:val="16"/>
          <w:szCs w:val="16"/>
        </w:rPr>
        <w:t xml:space="preserve"> Unresectable Hepatocellular Carcinoma: Randomized Expansion of a Phase I/II Study. J Clin Oncol 2021 39(27):2991-3001.</w:t>
      </w:r>
    </w:p>
    <w:p w14:paraId="56335A3F" w14:textId="583A9AF1" w:rsidR="00BC0D0D" w:rsidRPr="00BC0D0D" w:rsidRDefault="00000000" w:rsidP="00BC0D0D">
      <w:pPr>
        <w:rPr>
          <w:rFonts w:ascii="Verdana" w:hAnsi="Verdana"/>
          <w:sz w:val="16"/>
          <w:szCs w:val="16"/>
        </w:rPr>
      </w:pPr>
      <w:hyperlink r:id="rId14" w:history="1">
        <w:r w:rsidR="00BC0D0D" w:rsidRPr="00BC0D0D">
          <w:rPr>
            <w:rStyle w:val="Hyperlink"/>
            <w:rFonts w:ascii="Verdana" w:hAnsi="Verdana"/>
            <w:sz w:val="16"/>
            <w:szCs w:val="16"/>
          </w:rPr>
          <w:t>Imfinzi PI</w:t>
        </w:r>
      </w:hyperlink>
    </w:p>
    <w:p w14:paraId="1876AC7B" w14:textId="4ABEBB1B" w:rsidR="00BC0D0D" w:rsidRPr="004F3C82" w:rsidRDefault="00BC0D0D" w:rsidP="00BC0D0D">
      <w:pPr>
        <w:rPr>
          <w:rFonts w:ascii="Verdana" w:hAnsi="Verdana"/>
          <w:sz w:val="16"/>
          <w:szCs w:val="16"/>
          <w:lang w:val="fr-FR"/>
        </w:rPr>
      </w:pPr>
      <w:r w:rsidRPr="004F3C82">
        <w:rPr>
          <w:rFonts w:ascii="Arial" w:hAnsi="Arial" w:cs="Arial"/>
          <w:sz w:val="16"/>
          <w:szCs w:val="16"/>
          <w:lang w:val="fr-FR"/>
        </w:rPr>
        <w:t>▼</w:t>
      </w:r>
      <w:r w:rsidRPr="004F3C82">
        <w:rPr>
          <w:rFonts w:ascii="Verdana" w:hAnsi="Verdana"/>
          <w:sz w:val="16"/>
          <w:szCs w:val="16"/>
          <w:lang w:val="fr-FR"/>
        </w:rPr>
        <w:t>Ce m</w:t>
      </w:r>
      <w:r w:rsidRPr="004F3C82">
        <w:rPr>
          <w:rFonts w:ascii="Verdana" w:hAnsi="Verdana" w:cs="Verdana"/>
          <w:sz w:val="16"/>
          <w:szCs w:val="16"/>
          <w:lang w:val="fr-FR"/>
        </w:rPr>
        <w:t>é</w:t>
      </w:r>
      <w:r w:rsidRPr="004F3C82">
        <w:rPr>
          <w:rFonts w:ascii="Verdana" w:hAnsi="Verdana"/>
          <w:sz w:val="16"/>
          <w:szCs w:val="16"/>
          <w:lang w:val="fr-FR"/>
        </w:rPr>
        <w:t>dicament fait l</w:t>
      </w:r>
      <w:r w:rsidRPr="004F3C82">
        <w:rPr>
          <w:rFonts w:ascii="Verdana" w:hAnsi="Verdana" w:cs="Verdana"/>
          <w:sz w:val="16"/>
          <w:szCs w:val="16"/>
          <w:lang w:val="fr-FR"/>
        </w:rPr>
        <w:t>’</w:t>
      </w:r>
      <w:r w:rsidRPr="004F3C82">
        <w:rPr>
          <w:rFonts w:ascii="Verdana" w:hAnsi="Verdana"/>
          <w:sz w:val="16"/>
          <w:szCs w:val="16"/>
          <w:lang w:val="fr-FR"/>
        </w:rPr>
        <w:t>objet d</w:t>
      </w:r>
      <w:r w:rsidRPr="004F3C82">
        <w:rPr>
          <w:rFonts w:ascii="Verdana" w:hAnsi="Verdana" w:cs="Verdana"/>
          <w:sz w:val="16"/>
          <w:szCs w:val="16"/>
          <w:lang w:val="fr-FR"/>
        </w:rPr>
        <w:t>’</w:t>
      </w:r>
      <w:r w:rsidRPr="004F3C82">
        <w:rPr>
          <w:rFonts w:ascii="Verdana" w:hAnsi="Verdana"/>
          <w:sz w:val="16"/>
          <w:szCs w:val="16"/>
          <w:lang w:val="fr-FR"/>
        </w:rPr>
        <w:t>une surveillance suppl</w:t>
      </w:r>
      <w:r w:rsidRPr="004F3C82">
        <w:rPr>
          <w:rFonts w:ascii="Verdana" w:hAnsi="Verdana" w:cs="Verdana"/>
          <w:sz w:val="16"/>
          <w:szCs w:val="16"/>
          <w:lang w:val="fr-FR"/>
        </w:rPr>
        <w:t>é</w:t>
      </w:r>
      <w:r w:rsidRPr="004F3C82">
        <w:rPr>
          <w:rFonts w:ascii="Verdana" w:hAnsi="Verdana"/>
          <w:sz w:val="16"/>
          <w:szCs w:val="16"/>
          <w:lang w:val="fr-FR"/>
        </w:rPr>
        <w:t xml:space="preserve">mentaire. Pour plus d’informations, se référer </w:t>
      </w:r>
      <w:proofErr w:type="spellStart"/>
      <w:r w:rsidRPr="004F3C82">
        <w:rPr>
          <w:rFonts w:ascii="Verdana" w:hAnsi="Verdana"/>
          <w:sz w:val="16"/>
          <w:szCs w:val="16"/>
          <w:lang w:val="fr-FR"/>
        </w:rPr>
        <w:t>àl’information</w:t>
      </w:r>
      <w:proofErr w:type="spellEnd"/>
      <w:r w:rsidRPr="004F3C82">
        <w:rPr>
          <w:rFonts w:ascii="Verdana" w:hAnsi="Verdana"/>
          <w:sz w:val="16"/>
          <w:szCs w:val="16"/>
          <w:lang w:val="fr-FR"/>
        </w:rPr>
        <w:t xml:space="preserve"> professionnelle des médicaments à usage humain de </w:t>
      </w:r>
      <w:hyperlink r:id="rId15" w:history="1">
        <w:proofErr w:type="spellStart"/>
        <w:r w:rsidRPr="004F3C82">
          <w:rPr>
            <w:rStyle w:val="Hyperlink"/>
            <w:rFonts w:ascii="Verdana" w:hAnsi="Verdana"/>
            <w:sz w:val="16"/>
            <w:szCs w:val="16"/>
            <w:lang w:val="fr-FR"/>
          </w:rPr>
          <w:t>Imjudo</w:t>
        </w:r>
        <w:proofErr w:type="spellEnd"/>
      </w:hyperlink>
    </w:p>
    <w:p w14:paraId="72AD3AF4" w14:textId="77777777" w:rsidR="00BC0D0D" w:rsidRPr="004F3C82" w:rsidRDefault="00BC0D0D" w:rsidP="00BC0D0D">
      <w:pPr>
        <w:rPr>
          <w:rFonts w:ascii="Verdana" w:hAnsi="Verdana"/>
          <w:sz w:val="16"/>
          <w:szCs w:val="16"/>
          <w:lang w:val="fr-FR"/>
        </w:rPr>
      </w:pPr>
    </w:p>
    <w:p w14:paraId="7E6411DB" w14:textId="77777777" w:rsidR="00741832" w:rsidRDefault="007479CE" w:rsidP="007479CE">
      <w:pPr>
        <w:rPr>
          <w:rFonts w:ascii="Verdana" w:hAnsi="Verdana"/>
          <w:sz w:val="16"/>
          <w:szCs w:val="16"/>
          <w:lang w:val="fr-FR"/>
        </w:rPr>
      </w:pPr>
      <w:r w:rsidRPr="004F3C82">
        <w:rPr>
          <w:rFonts w:ascii="Verdana" w:hAnsi="Verdana"/>
          <w:sz w:val="16"/>
          <w:szCs w:val="16"/>
          <w:lang w:val="fr-FR"/>
        </w:rPr>
        <w:t>Pour plus d’informations : </w:t>
      </w:r>
      <w:hyperlink r:id="rId16" w:tgtFrame="_blank" w:tooltip="http://www.swissmedicinfo.ch/accept.aspx?returnurl=%2f" w:history="1">
        <w:r w:rsidRPr="004F3C82">
          <w:rPr>
            <w:rStyle w:val="Hyperlink"/>
            <w:rFonts w:ascii="Verdana" w:hAnsi="Verdana"/>
            <w:sz w:val="16"/>
            <w:szCs w:val="16"/>
            <w:lang w:val="fr-FR"/>
          </w:rPr>
          <w:t>www.swissmedicinfo.ch</w:t>
        </w:r>
      </w:hyperlink>
      <w:r w:rsidRPr="004F3C82">
        <w:rPr>
          <w:rFonts w:ascii="Verdana" w:hAnsi="Verdana"/>
          <w:sz w:val="16"/>
          <w:szCs w:val="16"/>
          <w:lang w:val="fr-FR"/>
        </w:rPr>
        <w:t xml:space="preserve"> ou AstraZeneca AG, </w:t>
      </w:r>
      <w:proofErr w:type="spellStart"/>
      <w:r w:rsidRPr="004F3C82">
        <w:rPr>
          <w:rFonts w:ascii="Verdana" w:hAnsi="Verdana"/>
          <w:sz w:val="16"/>
          <w:szCs w:val="16"/>
          <w:lang w:val="fr-FR"/>
        </w:rPr>
        <w:t>Neuhofstrasse</w:t>
      </w:r>
      <w:proofErr w:type="spellEnd"/>
      <w:r w:rsidRPr="004F3C82">
        <w:rPr>
          <w:rFonts w:ascii="Verdana" w:hAnsi="Verdana"/>
          <w:sz w:val="16"/>
          <w:szCs w:val="16"/>
          <w:lang w:val="fr-FR"/>
        </w:rPr>
        <w:t xml:space="preserve"> 34, 6340 Baar. </w:t>
      </w:r>
      <w:hyperlink r:id="rId17" w:tgtFrame="_blank" w:tooltip="http://www.astrazeneca.ch/" w:history="1">
        <w:r w:rsidRPr="004F3C82">
          <w:rPr>
            <w:rStyle w:val="Hyperlink"/>
            <w:rFonts w:ascii="Verdana" w:hAnsi="Verdana"/>
            <w:sz w:val="16"/>
            <w:szCs w:val="16"/>
            <w:lang w:val="fr-FR"/>
          </w:rPr>
          <w:t>www.astrazeneca.ch</w:t>
        </w:r>
      </w:hyperlink>
      <w:r w:rsidRPr="004F3C82">
        <w:rPr>
          <w:rFonts w:ascii="Verdana" w:hAnsi="Verdana"/>
          <w:sz w:val="16"/>
          <w:szCs w:val="16"/>
          <w:lang w:val="fr-FR"/>
        </w:rPr>
        <w:t>.</w:t>
      </w:r>
    </w:p>
    <w:p w14:paraId="7CE21902" w14:textId="1DB183C8" w:rsidR="007A3B81" w:rsidRPr="004F3C82" w:rsidRDefault="007479CE" w:rsidP="007A3B81">
      <w:pPr>
        <w:rPr>
          <w:rFonts w:ascii="Verdana" w:hAnsi="Verdana"/>
          <w:sz w:val="16"/>
          <w:szCs w:val="16"/>
          <w:lang w:val="fr-FR"/>
        </w:rPr>
      </w:pPr>
      <w:r w:rsidRPr="004F3C82">
        <w:rPr>
          <w:rFonts w:ascii="Verdana" w:hAnsi="Verdana"/>
          <w:sz w:val="16"/>
          <w:szCs w:val="16"/>
          <w:lang w:val="fr-FR"/>
        </w:rPr>
        <w:t>Les professionnels de la santé peuvent demander les références mentionnées à AstraZeneca AG</w:t>
      </w:r>
    </w:p>
    <w:sectPr w:rsidR="007A3B81" w:rsidRPr="004F3C82" w:rsidSect="007A3B81">
      <w:footerReference w:type="default" r:id="rId1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9F7C" w14:textId="77777777" w:rsidR="00A67F28" w:rsidRDefault="00A67F28" w:rsidP="00064242">
      <w:r>
        <w:separator/>
      </w:r>
    </w:p>
  </w:endnote>
  <w:endnote w:type="continuationSeparator" w:id="0">
    <w:p w14:paraId="22A5E586" w14:textId="77777777" w:rsidR="00A67F28" w:rsidRDefault="00A67F28" w:rsidP="00064242">
      <w:r>
        <w:continuationSeparator/>
      </w:r>
    </w:p>
  </w:endnote>
  <w:endnote w:type="continuationNotice" w:id="1">
    <w:p w14:paraId="5F394B77" w14:textId="77777777" w:rsidR="00A67F28" w:rsidRDefault="00A67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9E6" w14:textId="4B60EA1F" w:rsidR="00064242" w:rsidRPr="00064242" w:rsidRDefault="00D36525">
    <w:pPr>
      <w:pStyle w:val="Footer"/>
      <w:rPr>
        <w:lang w:val="en-US"/>
      </w:rPr>
    </w:pPr>
    <w:r w:rsidRPr="00D36525">
      <w:rPr>
        <w:lang w:val="en-US"/>
      </w:rPr>
      <w:t>CH-9984</w:t>
    </w:r>
    <w:r w:rsidR="00886BE3">
      <w:rPr>
        <w:lang w:val="en-US"/>
      </w:rPr>
      <w:t>/</w:t>
    </w:r>
    <w:r w:rsidR="00893DCA" w:rsidRPr="00893DCA">
      <w:rPr>
        <w:lang w:val="en-US"/>
      </w:rPr>
      <w:t>Juillet</w:t>
    </w:r>
    <w:r w:rsidR="00893DCA">
      <w:rPr>
        <w:lang w:val="en-US"/>
      </w:rPr>
      <w:t xml:space="preserve"> </w:t>
    </w:r>
    <w:r w:rsidR="00064242">
      <w:rPr>
        <w:lang w:val="en-US"/>
      </w:rPr>
      <w:t>202</w:t>
    </w:r>
    <w:r w:rsidR="0055344B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B1DA" w14:textId="77777777" w:rsidR="00A67F28" w:rsidRDefault="00A67F28" w:rsidP="00064242">
      <w:r>
        <w:separator/>
      </w:r>
    </w:p>
  </w:footnote>
  <w:footnote w:type="continuationSeparator" w:id="0">
    <w:p w14:paraId="73721ED7" w14:textId="77777777" w:rsidR="00A67F28" w:rsidRDefault="00A67F28" w:rsidP="00064242">
      <w:r>
        <w:continuationSeparator/>
      </w:r>
    </w:p>
  </w:footnote>
  <w:footnote w:type="continuationNotice" w:id="1">
    <w:p w14:paraId="7664DC27" w14:textId="77777777" w:rsidR="00A67F28" w:rsidRDefault="00A67F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1B73"/>
    <w:multiLevelType w:val="hybridMultilevel"/>
    <w:tmpl w:val="6A06D6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440B"/>
    <w:multiLevelType w:val="hybridMultilevel"/>
    <w:tmpl w:val="413C1BD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5F5"/>
    <w:multiLevelType w:val="hybridMultilevel"/>
    <w:tmpl w:val="9FC6F100"/>
    <w:lvl w:ilvl="0" w:tplc="BEEE34E4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71EB4"/>
    <w:multiLevelType w:val="hybridMultilevel"/>
    <w:tmpl w:val="DAA8F41E"/>
    <w:lvl w:ilvl="0" w:tplc="EE3032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54CB"/>
    <w:multiLevelType w:val="hybridMultilevel"/>
    <w:tmpl w:val="AD6C9FAE"/>
    <w:lvl w:ilvl="0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53185F"/>
    <w:multiLevelType w:val="hybridMultilevel"/>
    <w:tmpl w:val="6BDAEB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D4997"/>
    <w:multiLevelType w:val="hybridMultilevel"/>
    <w:tmpl w:val="CFAA46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05AD"/>
    <w:multiLevelType w:val="hybridMultilevel"/>
    <w:tmpl w:val="728A747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E807C7"/>
    <w:multiLevelType w:val="hybridMultilevel"/>
    <w:tmpl w:val="7166BA04"/>
    <w:lvl w:ilvl="0" w:tplc="BFA22EE4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53F29"/>
    <w:multiLevelType w:val="hybridMultilevel"/>
    <w:tmpl w:val="74DEEA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A0310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8922C6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FA663FE">
      <w:start w:val="16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  <w:b/>
        <w:i w:val="0"/>
      </w:rPr>
    </w:lvl>
    <w:lvl w:ilvl="5" w:tplc="D45A2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967F6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886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2CB9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7AB260E6"/>
    <w:multiLevelType w:val="multilevel"/>
    <w:tmpl w:val="47A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904542">
    <w:abstractNumId w:val="9"/>
  </w:num>
  <w:num w:numId="2" w16cid:durableId="704599071">
    <w:abstractNumId w:val="7"/>
  </w:num>
  <w:num w:numId="3" w16cid:durableId="1466507784">
    <w:abstractNumId w:val="2"/>
  </w:num>
  <w:num w:numId="4" w16cid:durableId="2141724325">
    <w:abstractNumId w:val="4"/>
  </w:num>
  <w:num w:numId="5" w16cid:durableId="574242147">
    <w:abstractNumId w:val="6"/>
  </w:num>
  <w:num w:numId="6" w16cid:durableId="743185936">
    <w:abstractNumId w:val="10"/>
  </w:num>
  <w:num w:numId="7" w16cid:durableId="1465466950">
    <w:abstractNumId w:val="6"/>
  </w:num>
  <w:num w:numId="8" w16cid:durableId="1224025850">
    <w:abstractNumId w:val="1"/>
  </w:num>
  <w:num w:numId="9" w16cid:durableId="1440299883">
    <w:abstractNumId w:val="3"/>
  </w:num>
  <w:num w:numId="10" w16cid:durableId="627205328">
    <w:abstractNumId w:val="5"/>
  </w:num>
  <w:num w:numId="11" w16cid:durableId="1421830845">
    <w:abstractNumId w:val="0"/>
  </w:num>
  <w:num w:numId="12" w16cid:durableId="83110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3"/>
    <w:rsid w:val="00000200"/>
    <w:rsid w:val="00001D25"/>
    <w:rsid w:val="00002F78"/>
    <w:rsid w:val="00003AFD"/>
    <w:rsid w:val="00003CB5"/>
    <w:rsid w:val="00005D80"/>
    <w:rsid w:val="00011C1E"/>
    <w:rsid w:val="000130AA"/>
    <w:rsid w:val="00014A55"/>
    <w:rsid w:val="00017BBB"/>
    <w:rsid w:val="0002267E"/>
    <w:rsid w:val="000228E9"/>
    <w:rsid w:val="0002798B"/>
    <w:rsid w:val="00037959"/>
    <w:rsid w:val="00040701"/>
    <w:rsid w:val="00043811"/>
    <w:rsid w:val="00044497"/>
    <w:rsid w:val="00045627"/>
    <w:rsid w:val="00053538"/>
    <w:rsid w:val="00053F6E"/>
    <w:rsid w:val="00054EA7"/>
    <w:rsid w:val="000564E0"/>
    <w:rsid w:val="000620D8"/>
    <w:rsid w:val="00064242"/>
    <w:rsid w:val="000657AC"/>
    <w:rsid w:val="00065F63"/>
    <w:rsid w:val="00072A3B"/>
    <w:rsid w:val="000763E8"/>
    <w:rsid w:val="000767FA"/>
    <w:rsid w:val="0007684B"/>
    <w:rsid w:val="000773AE"/>
    <w:rsid w:val="000826BC"/>
    <w:rsid w:val="00082F32"/>
    <w:rsid w:val="00083002"/>
    <w:rsid w:val="000841C3"/>
    <w:rsid w:val="00085461"/>
    <w:rsid w:val="00091DDB"/>
    <w:rsid w:val="0009271C"/>
    <w:rsid w:val="000A3014"/>
    <w:rsid w:val="000A4EEC"/>
    <w:rsid w:val="000A7354"/>
    <w:rsid w:val="000A736A"/>
    <w:rsid w:val="000B0F47"/>
    <w:rsid w:val="000B11F1"/>
    <w:rsid w:val="000B364A"/>
    <w:rsid w:val="000B3814"/>
    <w:rsid w:val="000B65BD"/>
    <w:rsid w:val="000B7B0D"/>
    <w:rsid w:val="000C51E5"/>
    <w:rsid w:val="000D0B11"/>
    <w:rsid w:val="000D3328"/>
    <w:rsid w:val="000D6236"/>
    <w:rsid w:val="000D7076"/>
    <w:rsid w:val="000D7C5B"/>
    <w:rsid w:val="000E2403"/>
    <w:rsid w:val="000F03AC"/>
    <w:rsid w:val="000F40BB"/>
    <w:rsid w:val="000F541A"/>
    <w:rsid w:val="000F6007"/>
    <w:rsid w:val="000F7190"/>
    <w:rsid w:val="000F7A1A"/>
    <w:rsid w:val="00106B1A"/>
    <w:rsid w:val="001106FA"/>
    <w:rsid w:val="001121A4"/>
    <w:rsid w:val="00112209"/>
    <w:rsid w:val="0011452D"/>
    <w:rsid w:val="0012394F"/>
    <w:rsid w:val="00123B93"/>
    <w:rsid w:val="00124F1F"/>
    <w:rsid w:val="001261C8"/>
    <w:rsid w:val="00130112"/>
    <w:rsid w:val="00132109"/>
    <w:rsid w:val="00133124"/>
    <w:rsid w:val="0013483E"/>
    <w:rsid w:val="001365CE"/>
    <w:rsid w:val="0014045F"/>
    <w:rsid w:val="0014225A"/>
    <w:rsid w:val="00143302"/>
    <w:rsid w:val="001510E4"/>
    <w:rsid w:val="0015166D"/>
    <w:rsid w:val="00160846"/>
    <w:rsid w:val="00163BD9"/>
    <w:rsid w:val="00165EC7"/>
    <w:rsid w:val="00171E06"/>
    <w:rsid w:val="001803A4"/>
    <w:rsid w:val="00184E17"/>
    <w:rsid w:val="00186BB3"/>
    <w:rsid w:val="00193693"/>
    <w:rsid w:val="00193DDB"/>
    <w:rsid w:val="00193E80"/>
    <w:rsid w:val="001966BA"/>
    <w:rsid w:val="00197A71"/>
    <w:rsid w:val="001A06ED"/>
    <w:rsid w:val="001A0F19"/>
    <w:rsid w:val="001A23AB"/>
    <w:rsid w:val="001C5999"/>
    <w:rsid w:val="001C63FB"/>
    <w:rsid w:val="001C65AF"/>
    <w:rsid w:val="001C7207"/>
    <w:rsid w:val="001C7590"/>
    <w:rsid w:val="001D2F0E"/>
    <w:rsid w:val="001D6141"/>
    <w:rsid w:val="001D6C35"/>
    <w:rsid w:val="001D75B9"/>
    <w:rsid w:val="001E6458"/>
    <w:rsid w:val="001E7641"/>
    <w:rsid w:val="001F1A3C"/>
    <w:rsid w:val="001F212B"/>
    <w:rsid w:val="001F622A"/>
    <w:rsid w:val="00201A44"/>
    <w:rsid w:val="002028B4"/>
    <w:rsid w:val="00203223"/>
    <w:rsid w:val="00203ABC"/>
    <w:rsid w:val="0020590A"/>
    <w:rsid w:val="00205EB2"/>
    <w:rsid w:val="00210484"/>
    <w:rsid w:val="002143B4"/>
    <w:rsid w:val="00214E89"/>
    <w:rsid w:val="00217E50"/>
    <w:rsid w:val="00224B48"/>
    <w:rsid w:val="00224E92"/>
    <w:rsid w:val="002254EB"/>
    <w:rsid w:val="00226680"/>
    <w:rsid w:val="00227BA7"/>
    <w:rsid w:val="00231034"/>
    <w:rsid w:val="00232821"/>
    <w:rsid w:val="00234D06"/>
    <w:rsid w:val="00235BBF"/>
    <w:rsid w:val="002361FA"/>
    <w:rsid w:val="002416A6"/>
    <w:rsid w:val="00241DAF"/>
    <w:rsid w:val="0024264F"/>
    <w:rsid w:val="00246017"/>
    <w:rsid w:val="002467F1"/>
    <w:rsid w:val="00264639"/>
    <w:rsid w:val="002678A9"/>
    <w:rsid w:val="00270C80"/>
    <w:rsid w:val="00271582"/>
    <w:rsid w:val="00272BAC"/>
    <w:rsid w:val="00275A37"/>
    <w:rsid w:val="00277125"/>
    <w:rsid w:val="00284DC5"/>
    <w:rsid w:val="002855F7"/>
    <w:rsid w:val="00291AB9"/>
    <w:rsid w:val="00293B48"/>
    <w:rsid w:val="00295AA8"/>
    <w:rsid w:val="002A07E9"/>
    <w:rsid w:val="002A2029"/>
    <w:rsid w:val="002A30F4"/>
    <w:rsid w:val="002A43BE"/>
    <w:rsid w:val="002A644F"/>
    <w:rsid w:val="002A79E4"/>
    <w:rsid w:val="002B1E18"/>
    <w:rsid w:val="002B6225"/>
    <w:rsid w:val="002B6E39"/>
    <w:rsid w:val="002B74DC"/>
    <w:rsid w:val="002C2ED2"/>
    <w:rsid w:val="002C51FA"/>
    <w:rsid w:val="002C5FC2"/>
    <w:rsid w:val="002C6AC2"/>
    <w:rsid w:val="002C6E0F"/>
    <w:rsid w:val="002D13DE"/>
    <w:rsid w:val="002D2321"/>
    <w:rsid w:val="002D5E47"/>
    <w:rsid w:val="002D62B2"/>
    <w:rsid w:val="002D74AD"/>
    <w:rsid w:val="002E08E0"/>
    <w:rsid w:val="002E1B79"/>
    <w:rsid w:val="002E1E23"/>
    <w:rsid w:val="002E1FF3"/>
    <w:rsid w:val="002E2026"/>
    <w:rsid w:val="002E3D6A"/>
    <w:rsid w:val="002E7D89"/>
    <w:rsid w:val="002F0586"/>
    <w:rsid w:val="002F1E17"/>
    <w:rsid w:val="002F40AE"/>
    <w:rsid w:val="003046A6"/>
    <w:rsid w:val="00304F23"/>
    <w:rsid w:val="00305953"/>
    <w:rsid w:val="00307A71"/>
    <w:rsid w:val="00307AF6"/>
    <w:rsid w:val="0032101D"/>
    <w:rsid w:val="0032412B"/>
    <w:rsid w:val="0032563C"/>
    <w:rsid w:val="003306B6"/>
    <w:rsid w:val="0033089F"/>
    <w:rsid w:val="003315C4"/>
    <w:rsid w:val="003336D3"/>
    <w:rsid w:val="003357E7"/>
    <w:rsid w:val="003358A6"/>
    <w:rsid w:val="00335BE1"/>
    <w:rsid w:val="00335FD8"/>
    <w:rsid w:val="00336D8B"/>
    <w:rsid w:val="00337928"/>
    <w:rsid w:val="0034456B"/>
    <w:rsid w:val="003462D2"/>
    <w:rsid w:val="00346664"/>
    <w:rsid w:val="003510EE"/>
    <w:rsid w:val="0035166F"/>
    <w:rsid w:val="003557D0"/>
    <w:rsid w:val="00355A48"/>
    <w:rsid w:val="0035776B"/>
    <w:rsid w:val="003634D0"/>
    <w:rsid w:val="00367DAD"/>
    <w:rsid w:val="003719C1"/>
    <w:rsid w:val="0037489C"/>
    <w:rsid w:val="00375554"/>
    <w:rsid w:val="00377B4E"/>
    <w:rsid w:val="00382E69"/>
    <w:rsid w:val="00382EFD"/>
    <w:rsid w:val="00384D18"/>
    <w:rsid w:val="0038611F"/>
    <w:rsid w:val="0039477C"/>
    <w:rsid w:val="003968FE"/>
    <w:rsid w:val="00397BFC"/>
    <w:rsid w:val="003A52CD"/>
    <w:rsid w:val="003B376D"/>
    <w:rsid w:val="003B39DE"/>
    <w:rsid w:val="003B5355"/>
    <w:rsid w:val="003C0B62"/>
    <w:rsid w:val="003C6633"/>
    <w:rsid w:val="003D460B"/>
    <w:rsid w:val="003D5E31"/>
    <w:rsid w:val="003E0682"/>
    <w:rsid w:val="003F203C"/>
    <w:rsid w:val="003F35B9"/>
    <w:rsid w:val="003F4215"/>
    <w:rsid w:val="004023F2"/>
    <w:rsid w:val="00406A35"/>
    <w:rsid w:val="0041735E"/>
    <w:rsid w:val="00423672"/>
    <w:rsid w:val="0043100B"/>
    <w:rsid w:val="004325CB"/>
    <w:rsid w:val="004452E0"/>
    <w:rsid w:val="00446E25"/>
    <w:rsid w:val="004476E7"/>
    <w:rsid w:val="00452524"/>
    <w:rsid w:val="00455399"/>
    <w:rsid w:val="00456424"/>
    <w:rsid w:val="00460466"/>
    <w:rsid w:val="004616CA"/>
    <w:rsid w:val="00462E16"/>
    <w:rsid w:val="0048682F"/>
    <w:rsid w:val="0049191D"/>
    <w:rsid w:val="00491D8B"/>
    <w:rsid w:val="004A11F1"/>
    <w:rsid w:val="004A2BBE"/>
    <w:rsid w:val="004A54E6"/>
    <w:rsid w:val="004A6A7A"/>
    <w:rsid w:val="004A7134"/>
    <w:rsid w:val="004B51A4"/>
    <w:rsid w:val="004B6E0E"/>
    <w:rsid w:val="004C5F20"/>
    <w:rsid w:val="004C71FA"/>
    <w:rsid w:val="004D0248"/>
    <w:rsid w:val="004D0A08"/>
    <w:rsid w:val="004D0DA7"/>
    <w:rsid w:val="004D2239"/>
    <w:rsid w:val="004D5FA9"/>
    <w:rsid w:val="004D6612"/>
    <w:rsid w:val="004D6A5E"/>
    <w:rsid w:val="004E03DE"/>
    <w:rsid w:val="004E1962"/>
    <w:rsid w:val="004E5EBD"/>
    <w:rsid w:val="004F31EB"/>
    <w:rsid w:val="004F3C82"/>
    <w:rsid w:val="0050175C"/>
    <w:rsid w:val="00510B15"/>
    <w:rsid w:val="00511541"/>
    <w:rsid w:val="00514389"/>
    <w:rsid w:val="00514857"/>
    <w:rsid w:val="00515574"/>
    <w:rsid w:val="00517270"/>
    <w:rsid w:val="005208AC"/>
    <w:rsid w:val="00522F3A"/>
    <w:rsid w:val="00522F67"/>
    <w:rsid w:val="005239C2"/>
    <w:rsid w:val="0052597B"/>
    <w:rsid w:val="005268F7"/>
    <w:rsid w:val="00530FB9"/>
    <w:rsid w:val="005311A8"/>
    <w:rsid w:val="00531A7F"/>
    <w:rsid w:val="0054107C"/>
    <w:rsid w:val="005421C2"/>
    <w:rsid w:val="00546520"/>
    <w:rsid w:val="005525D5"/>
    <w:rsid w:val="0055335E"/>
    <w:rsid w:val="0055344B"/>
    <w:rsid w:val="00556ADF"/>
    <w:rsid w:val="00564DE8"/>
    <w:rsid w:val="0056543F"/>
    <w:rsid w:val="00570D01"/>
    <w:rsid w:val="005710EA"/>
    <w:rsid w:val="00573B0E"/>
    <w:rsid w:val="00575BC5"/>
    <w:rsid w:val="00576A25"/>
    <w:rsid w:val="00577779"/>
    <w:rsid w:val="00577F71"/>
    <w:rsid w:val="00580E6B"/>
    <w:rsid w:val="0058273F"/>
    <w:rsid w:val="00582FB7"/>
    <w:rsid w:val="00585DA5"/>
    <w:rsid w:val="00590DF3"/>
    <w:rsid w:val="005934D3"/>
    <w:rsid w:val="00594326"/>
    <w:rsid w:val="00595E79"/>
    <w:rsid w:val="0059677D"/>
    <w:rsid w:val="005A3E2B"/>
    <w:rsid w:val="005A5CD2"/>
    <w:rsid w:val="005B379B"/>
    <w:rsid w:val="005B4156"/>
    <w:rsid w:val="005B6FD1"/>
    <w:rsid w:val="005B7F7A"/>
    <w:rsid w:val="005C0645"/>
    <w:rsid w:val="005C1BA8"/>
    <w:rsid w:val="005C374A"/>
    <w:rsid w:val="005C6853"/>
    <w:rsid w:val="005D01F9"/>
    <w:rsid w:val="005D11C6"/>
    <w:rsid w:val="005D7FE4"/>
    <w:rsid w:val="005E1F4A"/>
    <w:rsid w:val="005E24F9"/>
    <w:rsid w:val="005E2C7C"/>
    <w:rsid w:val="005F0495"/>
    <w:rsid w:val="005F3CB4"/>
    <w:rsid w:val="005F47C1"/>
    <w:rsid w:val="005F6BBE"/>
    <w:rsid w:val="00602E4A"/>
    <w:rsid w:val="006042D6"/>
    <w:rsid w:val="00607A5D"/>
    <w:rsid w:val="00612B6D"/>
    <w:rsid w:val="00615E82"/>
    <w:rsid w:val="0062153C"/>
    <w:rsid w:val="00627411"/>
    <w:rsid w:val="0063016B"/>
    <w:rsid w:val="00632DA9"/>
    <w:rsid w:val="006333FF"/>
    <w:rsid w:val="00633BC8"/>
    <w:rsid w:val="00643FAF"/>
    <w:rsid w:val="006444EE"/>
    <w:rsid w:val="00647783"/>
    <w:rsid w:val="00650C23"/>
    <w:rsid w:val="00657AD2"/>
    <w:rsid w:val="00660775"/>
    <w:rsid w:val="00662456"/>
    <w:rsid w:val="006636A9"/>
    <w:rsid w:val="00664A14"/>
    <w:rsid w:val="00664CD6"/>
    <w:rsid w:val="0066702A"/>
    <w:rsid w:val="006717E8"/>
    <w:rsid w:val="00676C39"/>
    <w:rsid w:val="0067778B"/>
    <w:rsid w:val="00677EF2"/>
    <w:rsid w:val="00680F4E"/>
    <w:rsid w:val="0068243C"/>
    <w:rsid w:val="0068308A"/>
    <w:rsid w:val="00685054"/>
    <w:rsid w:val="006853B2"/>
    <w:rsid w:val="006A0EC0"/>
    <w:rsid w:val="006A1E42"/>
    <w:rsid w:val="006A3887"/>
    <w:rsid w:val="006A4DDD"/>
    <w:rsid w:val="006A50D2"/>
    <w:rsid w:val="006A59B1"/>
    <w:rsid w:val="006B0E67"/>
    <w:rsid w:val="006B193B"/>
    <w:rsid w:val="006B23A7"/>
    <w:rsid w:val="006B6DA5"/>
    <w:rsid w:val="006C68D2"/>
    <w:rsid w:val="006C757C"/>
    <w:rsid w:val="006D0C47"/>
    <w:rsid w:val="006D6392"/>
    <w:rsid w:val="006D6C20"/>
    <w:rsid w:val="006E78D4"/>
    <w:rsid w:val="006F2B6F"/>
    <w:rsid w:val="006F2DB3"/>
    <w:rsid w:val="00701CD0"/>
    <w:rsid w:val="00702251"/>
    <w:rsid w:val="00703983"/>
    <w:rsid w:val="007066A1"/>
    <w:rsid w:val="00713E51"/>
    <w:rsid w:val="007151F3"/>
    <w:rsid w:val="007155BB"/>
    <w:rsid w:val="00720627"/>
    <w:rsid w:val="007221E5"/>
    <w:rsid w:val="00722D15"/>
    <w:rsid w:val="0072548D"/>
    <w:rsid w:val="007254AD"/>
    <w:rsid w:val="00730736"/>
    <w:rsid w:val="00735DF5"/>
    <w:rsid w:val="007361BF"/>
    <w:rsid w:val="00740E42"/>
    <w:rsid w:val="00741832"/>
    <w:rsid w:val="00745BA1"/>
    <w:rsid w:val="00745F31"/>
    <w:rsid w:val="00746428"/>
    <w:rsid w:val="007477F3"/>
    <w:rsid w:val="007479CE"/>
    <w:rsid w:val="007515EA"/>
    <w:rsid w:val="00755206"/>
    <w:rsid w:val="00756D0E"/>
    <w:rsid w:val="00756DCD"/>
    <w:rsid w:val="0076428C"/>
    <w:rsid w:val="007645A0"/>
    <w:rsid w:val="007646CC"/>
    <w:rsid w:val="00775AB8"/>
    <w:rsid w:val="00776A3D"/>
    <w:rsid w:val="007771E4"/>
    <w:rsid w:val="00777280"/>
    <w:rsid w:val="00781689"/>
    <w:rsid w:val="00785E9E"/>
    <w:rsid w:val="007863E9"/>
    <w:rsid w:val="00787534"/>
    <w:rsid w:val="00790D58"/>
    <w:rsid w:val="00793158"/>
    <w:rsid w:val="00795685"/>
    <w:rsid w:val="007A0B08"/>
    <w:rsid w:val="007A3420"/>
    <w:rsid w:val="007A3B81"/>
    <w:rsid w:val="007B088E"/>
    <w:rsid w:val="007B1359"/>
    <w:rsid w:val="007B37D0"/>
    <w:rsid w:val="007B4F42"/>
    <w:rsid w:val="007B6100"/>
    <w:rsid w:val="007B7007"/>
    <w:rsid w:val="007B7470"/>
    <w:rsid w:val="007D05ED"/>
    <w:rsid w:val="007D50B6"/>
    <w:rsid w:val="007E07C8"/>
    <w:rsid w:val="007E0810"/>
    <w:rsid w:val="007E3A18"/>
    <w:rsid w:val="007E702A"/>
    <w:rsid w:val="007F037D"/>
    <w:rsid w:val="007F0C0D"/>
    <w:rsid w:val="007F4D0C"/>
    <w:rsid w:val="007F4E3F"/>
    <w:rsid w:val="00805D66"/>
    <w:rsid w:val="00806D33"/>
    <w:rsid w:val="0081518F"/>
    <w:rsid w:val="008236F8"/>
    <w:rsid w:val="00824181"/>
    <w:rsid w:val="00826A80"/>
    <w:rsid w:val="008272CD"/>
    <w:rsid w:val="008305AF"/>
    <w:rsid w:val="0083784B"/>
    <w:rsid w:val="008415DD"/>
    <w:rsid w:val="008423BE"/>
    <w:rsid w:val="00844764"/>
    <w:rsid w:val="00846AFB"/>
    <w:rsid w:val="00846D0C"/>
    <w:rsid w:val="00850C6B"/>
    <w:rsid w:val="0085305D"/>
    <w:rsid w:val="00854CAE"/>
    <w:rsid w:val="008641A8"/>
    <w:rsid w:val="008719F5"/>
    <w:rsid w:val="00872B6D"/>
    <w:rsid w:val="008741B7"/>
    <w:rsid w:val="0087514B"/>
    <w:rsid w:val="00877163"/>
    <w:rsid w:val="00877477"/>
    <w:rsid w:val="0088212B"/>
    <w:rsid w:val="00882D8B"/>
    <w:rsid w:val="00883D72"/>
    <w:rsid w:val="00883E3E"/>
    <w:rsid w:val="00884BA8"/>
    <w:rsid w:val="00886BE3"/>
    <w:rsid w:val="008879C2"/>
    <w:rsid w:val="00890BBF"/>
    <w:rsid w:val="008939AB"/>
    <w:rsid w:val="00893DCA"/>
    <w:rsid w:val="00894076"/>
    <w:rsid w:val="00897A16"/>
    <w:rsid w:val="008A1750"/>
    <w:rsid w:val="008A39A8"/>
    <w:rsid w:val="008A53EF"/>
    <w:rsid w:val="008A5A18"/>
    <w:rsid w:val="008A5C34"/>
    <w:rsid w:val="008B49D6"/>
    <w:rsid w:val="008B66CA"/>
    <w:rsid w:val="008C213B"/>
    <w:rsid w:val="008C3231"/>
    <w:rsid w:val="008C440E"/>
    <w:rsid w:val="008C7A3A"/>
    <w:rsid w:val="008D6A07"/>
    <w:rsid w:val="008D6F96"/>
    <w:rsid w:val="008E27F3"/>
    <w:rsid w:val="008E502F"/>
    <w:rsid w:val="008E5533"/>
    <w:rsid w:val="008E7688"/>
    <w:rsid w:val="008F0D7D"/>
    <w:rsid w:val="008F0D82"/>
    <w:rsid w:val="008F0FAA"/>
    <w:rsid w:val="008F4BCF"/>
    <w:rsid w:val="008F651E"/>
    <w:rsid w:val="008F6DAB"/>
    <w:rsid w:val="00902022"/>
    <w:rsid w:val="00903B42"/>
    <w:rsid w:val="00905BCA"/>
    <w:rsid w:val="00907CCC"/>
    <w:rsid w:val="00910521"/>
    <w:rsid w:val="00910E8F"/>
    <w:rsid w:val="00914173"/>
    <w:rsid w:val="009141C9"/>
    <w:rsid w:val="00914FBD"/>
    <w:rsid w:val="00917CC6"/>
    <w:rsid w:val="00923EF2"/>
    <w:rsid w:val="009263F6"/>
    <w:rsid w:val="009324C4"/>
    <w:rsid w:val="009337F0"/>
    <w:rsid w:val="0093659E"/>
    <w:rsid w:val="009419F5"/>
    <w:rsid w:val="00941D2B"/>
    <w:rsid w:val="009454A3"/>
    <w:rsid w:val="0094570A"/>
    <w:rsid w:val="00947060"/>
    <w:rsid w:val="00947E7A"/>
    <w:rsid w:val="0095099B"/>
    <w:rsid w:val="00960845"/>
    <w:rsid w:val="00960CA8"/>
    <w:rsid w:val="00961A3E"/>
    <w:rsid w:val="009627CC"/>
    <w:rsid w:val="00965613"/>
    <w:rsid w:val="00966195"/>
    <w:rsid w:val="00967D9B"/>
    <w:rsid w:val="00971FCC"/>
    <w:rsid w:val="0097341E"/>
    <w:rsid w:val="009775A9"/>
    <w:rsid w:val="00986EFB"/>
    <w:rsid w:val="0098785E"/>
    <w:rsid w:val="0099010D"/>
    <w:rsid w:val="0099035B"/>
    <w:rsid w:val="00991B11"/>
    <w:rsid w:val="00992D5C"/>
    <w:rsid w:val="00993E9A"/>
    <w:rsid w:val="00994FCA"/>
    <w:rsid w:val="009A0BE2"/>
    <w:rsid w:val="009A220E"/>
    <w:rsid w:val="009A3AC0"/>
    <w:rsid w:val="009A5186"/>
    <w:rsid w:val="009A609A"/>
    <w:rsid w:val="009A6E35"/>
    <w:rsid w:val="009B0BAE"/>
    <w:rsid w:val="009B2E27"/>
    <w:rsid w:val="009B6CFA"/>
    <w:rsid w:val="009C2623"/>
    <w:rsid w:val="009C2E97"/>
    <w:rsid w:val="009C67E2"/>
    <w:rsid w:val="009D738F"/>
    <w:rsid w:val="009E1AAE"/>
    <w:rsid w:val="009E24F2"/>
    <w:rsid w:val="009E3339"/>
    <w:rsid w:val="009E5E4D"/>
    <w:rsid w:val="009E6A33"/>
    <w:rsid w:val="009E7E6A"/>
    <w:rsid w:val="009F12BD"/>
    <w:rsid w:val="009F1994"/>
    <w:rsid w:val="009F7CAA"/>
    <w:rsid w:val="00A0238F"/>
    <w:rsid w:val="00A02495"/>
    <w:rsid w:val="00A042E1"/>
    <w:rsid w:val="00A05199"/>
    <w:rsid w:val="00A07542"/>
    <w:rsid w:val="00A10D6A"/>
    <w:rsid w:val="00A14558"/>
    <w:rsid w:val="00A226C7"/>
    <w:rsid w:val="00A34612"/>
    <w:rsid w:val="00A34673"/>
    <w:rsid w:val="00A34F40"/>
    <w:rsid w:val="00A442BD"/>
    <w:rsid w:val="00A44C4B"/>
    <w:rsid w:val="00A50CAC"/>
    <w:rsid w:val="00A5727E"/>
    <w:rsid w:val="00A61B3F"/>
    <w:rsid w:val="00A63A0A"/>
    <w:rsid w:val="00A6506C"/>
    <w:rsid w:val="00A6523D"/>
    <w:rsid w:val="00A67A72"/>
    <w:rsid w:val="00A67F28"/>
    <w:rsid w:val="00A70734"/>
    <w:rsid w:val="00A7188C"/>
    <w:rsid w:val="00A724D4"/>
    <w:rsid w:val="00A74AB4"/>
    <w:rsid w:val="00A82E86"/>
    <w:rsid w:val="00A842B7"/>
    <w:rsid w:val="00A922D7"/>
    <w:rsid w:val="00A9321D"/>
    <w:rsid w:val="00A9337F"/>
    <w:rsid w:val="00A9365F"/>
    <w:rsid w:val="00A938D3"/>
    <w:rsid w:val="00A96056"/>
    <w:rsid w:val="00AA02FA"/>
    <w:rsid w:val="00AA0731"/>
    <w:rsid w:val="00AA1844"/>
    <w:rsid w:val="00AA2653"/>
    <w:rsid w:val="00AA2973"/>
    <w:rsid w:val="00AA49CF"/>
    <w:rsid w:val="00AA5B14"/>
    <w:rsid w:val="00AA666F"/>
    <w:rsid w:val="00AB0ABE"/>
    <w:rsid w:val="00AB1E01"/>
    <w:rsid w:val="00AB2F8E"/>
    <w:rsid w:val="00AB4280"/>
    <w:rsid w:val="00AB45C4"/>
    <w:rsid w:val="00AB5013"/>
    <w:rsid w:val="00AB54ED"/>
    <w:rsid w:val="00AB698B"/>
    <w:rsid w:val="00AB6F05"/>
    <w:rsid w:val="00AC09BD"/>
    <w:rsid w:val="00AC1969"/>
    <w:rsid w:val="00AC2A64"/>
    <w:rsid w:val="00AC2CC6"/>
    <w:rsid w:val="00AC62AF"/>
    <w:rsid w:val="00AD4938"/>
    <w:rsid w:val="00AD6319"/>
    <w:rsid w:val="00AD6DF4"/>
    <w:rsid w:val="00AE2362"/>
    <w:rsid w:val="00AE3D0D"/>
    <w:rsid w:val="00AE6259"/>
    <w:rsid w:val="00AF75EE"/>
    <w:rsid w:val="00B000AB"/>
    <w:rsid w:val="00B03A49"/>
    <w:rsid w:val="00B104D2"/>
    <w:rsid w:val="00B11A29"/>
    <w:rsid w:val="00B12C8C"/>
    <w:rsid w:val="00B152D2"/>
    <w:rsid w:val="00B1600A"/>
    <w:rsid w:val="00B2151D"/>
    <w:rsid w:val="00B25FF0"/>
    <w:rsid w:val="00B31752"/>
    <w:rsid w:val="00B33CDD"/>
    <w:rsid w:val="00B343EC"/>
    <w:rsid w:val="00B3640B"/>
    <w:rsid w:val="00B415D6"/>
    <w:rsid w:val="00B41C2C"/>
    <w:rsid w:val="00B4353B"/>
    <w:rsid w:val="00B43E8D"/>
    <w:rsid w:val="00B44244"/>
    <w:rsid w:val="00B458E5"/>
    <w:rsid w:val="00B471A5"/>
    <w:rsid w:val="00B473AC"/>
    <w:rsid w:val="00B47965"/>
    <w:rsid w:val="00B5036B"/>
    <w:rsid w:val="00B5272E"/>
    <w:rsid w:val="00B55D11"/>
    <w:rsid w:val="00B707AF"/>
    <w:rsid w:val="00B71AEE"/>
    <w:rsid w:val="00B75A8B"/>
    <w:rsid w:val="00B86F75"/>
    <w:rsid w:val="00B86FEE"/>
    <w:rsid w:val="00B90922"/>
    <w:rsid w:val="00B910C6"/>
    <w:rsid w:val="00B95849"/>
    <w:rsid w:val="00BA31F5"/>
    <w:rsid w:val="00BA650C"/>
    <w:rsid w:val="00BB6A95"/>
    <w:rsid w:val="00BC0118"/>
    <w:rsid w:val="00BC0B44"/>
    <w:rsid w:val="00BC0D0D"/>
    <w:rsid w:val="00BC23A5"/>
    <w:rsid w:val="00BC3CBA"/>
    <w:rsid w:val="00BC4F28"/>
    <w:rsid w:val="00BC5061"/>
    <w:rsid w:val="00BC6F98"/>
    <w:rsid w:val="00BD07EB"/>
    <w:rsid w:val="00BD10F2"/>
    <w:rsid w:val="00BD1125"/>
    <w:rsid w:val="00BD627A"/>
    <w:rsid w:val="00BD6670"/>
    <w:rsid w:val="00BE07D4"/>
    <w:rsid w:val="00BE09C3"/>
    <w:rsid w:val="00BE1DDC"/>
    <w:rsid w:val="00BE364D"/>
    <w:rsid w:val="00BE51AF"/>
    <w:rsid w:val="00BE6B45"/>
    <w:rsid w:val="00BF08F2"/>
    <w:rsid w:val="00BF2592"/>
    <w:rsid w:val="00BF28B4"/>
    <w:rsid w:val="00BF4C87"/>
    <w:rsid w:val="00BF682D"/>
    <w:rsid w:val="00BF76DE"/>
    <w:rsid w:val="00C06841"/>
    <w:rsid w:val="00C133D8"/>
    <w:rsid w:val="00C2024E"/>
    <w:rsid w:val="00C208D8"/>
    <w:rsid w:val="00C219E8"/>
    <w:rsid w:val="00C22CCE"/>
    <w:rsid w:val="00C3378F"/>
    <w:rsid w:val="00C40338"/>
    <w:rsid w:val="00C4168B"/>
    <w:rsid w:val="00C529F8"/>
    <w:rsid w:val="00C52E1D"/>
    <w:rsid w:val="00C53DF2"/>
    <w:rsid w:val="00C56880"/>
    <w:rsid w:val="00C632C5"/>
    <w:rsid w:val="00C63660"/>
    <w:rsid w:val="00C64719"/>
    <w:rsid w:val="00C75BF2"/>
    <w:rsid w:val="00C803E8"/>
    <w:rsid w:val="00C813F5"/>
    <w:rsid w:val="00C81CBC"/>
    <w:rsid w:val="00C8448F"/>
    <w:rsid w:val="00C86B90"/>
    <w:rsid w:val="00C91211"/>
    <w:rsid w:val="00C91EA1"/>
    <w:rsid w:val="00C94D69"/>
    <w:rsid w:val="00C95A0D"/>
    <w:rsid w:val="00CA40E2"/>
    <w:rsid w:val="00CA58FA"/>
    <w:rsid w:val="00CA74BB"/>
    <w:rsid w:val="00CB036E"/>
    <w:rsid w:val="00CB0DC6"/>
    <w:rsid w:val="00CB17E7"/>
    <w:rsid w:val="00CB6623"/>
    <w:rsid w:val="00CB7834"/>
    <w:rsid w:val="00CB7ABA"/>
    <w:rsid w:val="00CB7C76"/>
    <w:rsid w:val="00CC1E5A"/>
    <w:rsid w:val="00CC3A8B"/>
    <w:rsid w:val="00CC3AF9"/>
    <w:rsid w:val="00CD2010"/>
    <w:rsid w:val="00CE41B1"/>
    <w:rsid w:val="00CE78A5"/>
    <w:rsid w:val="00CF47AE"/>
    <w:rsid w:val="00CF7C2E"/>
    <w:rsid w:val="00D01A31"/>
    <w:rsid w:val="00D02054"/>
    <w:rsid w:val="00D03402"/>
    <w:rsid w:val="00D05C08"/>
    <w:rsid w:val="00D05C95"/>
    <w:rsid w:val="00D133F8"/>
    <w:rsid w:val="00D1685A"/>
    <w:rsid w:val="00D22C03"/>
    <w:rsid w:val="00D24424"/>
    <w:rsid w:val="00D24EE0"/>
    <w:rsid w:val="00D35523"/>
    <w:rsid w:val="00D36525"/>
    <w:rsid w:val="00D4027B"/>
    <w:rsid w:val="00D43DD3"/>
    <w:rsid w:val="00D531EF"/>
    <w:rsid w:val="00D53C98"/>
    <w:rsid w:val="00D55A98"/>
    <w:rsid w:val="00D55BF4"/>
    <w:rsid w:val="00D61CFF"/>
    <w:rsid w:val="00D64B1F"/>
    <w:rsid w:val="00D64EE7"/>
    <w:rsid w:val="00D65212"/>
    <w:rsid w:val="00D65BBF"/>
    <w:rsid w:val="00D740D3"/>
    <w:rsid w:val="00D76814"/>
    <w:rsid w:val="00D76EDC"/>
    <w:rsid w:val="00D77739"/>
    <w:rsid w:val="00D83D35"/>
    <w:rsid w:val="00D86587"/>
    <w:rsid w:val="00D9410E"/>
    <w:rsid w:val="00D96FB2"/>
    <w:rsid w:val="00DA48CA"/>
    <w:rsid w:val="00DA7BAD"/>
    <w:rsid w:val="00DB33FD"/>
    <w:rsid w:val="00DB60FE"/>
    <w:rsid w:val="00DB6338"/>
    <w:rsid w:val="00DB7936"/>
    <w:rsid w:val="00DB7DC5"/>
    <w:rsid w:val="00DC02BB"/>
    <w:rsid w:val="00DC0833"/>
    <w:rsid w:val="00DC41FE"/>
    <w:rsid w:val="00DC5DF9"/>
    <w:rsid w:val="00DC6CAF"/>
    <w:rsid w:val="00DD50A4"/>
    <w:rsid w:val="00DE5669"/>
    <w:rsid w:val="00DF089D"/>
    <w:rsid w:val="00DF4ADB"/>
    <w:rsid w:val="00DF6675"/>
    <w:rsid w:val="00DF6FE4"/>
    <w:rsid w:val="00DF7A2E"/>
    <w:rsid w:val="00E02269"/>
    <w:rsid w:val="00E05094"/>
    <w:rsid w:val="00E0559E"/>
    <w:rsid w:val="00E07CED"/>
    <w:rsid w:val="00E10C95"/>
    <w:rsid w:val="00E12568"/>
    <w:rsid w:val="00E13B6B"/>
    <w:rsid w:val="00E16D1E"/>
    <w:rsid w:val="00E179A5"/>
    <w:rsid w:val="00E216FF"/>
    <w:rsid w:val="00E239E3"/>
    <w:rsid w:val="00E27E45"/>
    <w:rsid w:val="00E34306"/>
    <w:rsid w:val="00E4028F"/>
    <w:rsid w:val="00E4122E"/>
    <w:rsid w:val="00E44D92"/>
    <w:rsid w:val="00E45880"/>
    <w:rsid w:val="00E45D1D"/>
    <w:rsid w:val="00E46FD5"/>
    <w:rsid w:val="00E475A9"/>
    <w:rsid w:val="00E47A25"/>
    <w:rsid w:val="00E52876"/>
    <w:rsid w:val="00E54DE8"/>
    <w:rsid w:val="00E55D6F"/>
    <w:rsid w:val="00E55EA6"/>
    <w:rsid w:val="00E57820"/>
    <w:rsid w:val="00E65728"/>
    <w:rsid w:val="00E70812"/>
    <w:rsid w:val="00E717D9"/>
    <w:rsid w:val="00E73996"/>
    <w:rsid w:val="00E739EE"/>
    <w:rsid w:val="00E747E2"/>
    <w:rsid w:val="00E761EB"/>
    <w:rsid w:val="00E77D54"/>
    <w:rsid w:val="00E80CD1"/>
    <w:rsid w:val="00E83500"/>
    <w:rsid w:val="00E83725"/>
    <w:rsid w:val="00E839B0"/>
    <w:rsid w:val="00E848C9"/>
    <w:rsid w:val="00E84EF4"/>
    <w:rsid w:val="00E90A15"/>
    <w:rsid w:val="00E90C90"/>
    <w:rsid w:val="00E94305"/>
    <w:rsid w:val="00EA04F7"/>
    <w:rsid w:val="00EA207B"/>
    <w:rsid w:val="00EA29BA"/>
    <w:rsid w:val="00EA6D32"/>
    <w:rsid w:val="00EB24EA"/>
    <w:rsid w:val="00EC0FA6"/>
    <w:rsid w:val="00EC2A44"/>
    <w:rsid w:val="00EC359E"/>
    <w:rsid w:val="00EC4891"/>
    <w:rsid w:val="00ED5B81"/>
    <w:rsid w:val="00ED5C16"/>
    <w:rsid w:val="00EE168B"/>
    <w:rsid w:val="00EE2B1D"/>
    <w:rsid w:val="00EE5A4E"/>
    <w:rsid w:val="00EE5AFF"/>
    <w:rsid w:val="00EE6D24"/>
    <w:rsid w:val="00EF119F"/>
    <w:rsid w:val="00EF55EF"/>
    <w:rsid w:val="00F00391"/>
    <w:rsid w:val="00F02CFB"/>
    <w:rsid w:val="00F03311"/>
    <w:rsid w:val="00F06BFD"/>
    <w:rsid w:val="00F077E9"/>
    <w:rsid w:val="00F0799A"/>
    <w:rsid w:val="00F11876"/>
    <w:rsid w:val="00F11BE8"/>
    <w:rsid w:val="00F122BC"/>
    <w:rsid w:val="00F1667B"/>
    <w:rsid w:val="00F16861"/>
    <w:rsid w:val="00F16B28"/>
    <w:rsid w:val="00F21087"/>
    <w:rsid w:val="00F231AE"/>
    <w:rsid w:val="00F24113"/>
    <w:rsid w:val="00F305EF"/>
    <w:rsid w:val="00F30F29"/>
    <w:rsid w:val="00F312CE"/>
    <w:rsid w:val="00F335D8"/>
    <w:rsid w:val="00F36D20"/>
    <w:rsid w:val="00F4014C"/>
    <w:rsid w:val="00F443C4"/>
    <w:rsid w:val="00F45789"/>
    <w:rsid w:val="00F45E51"/>
    <w:rsid w:val="00F46D20"/>
    <w:rsid w:val="00F50418"/>
    <w:rsid w:val="00F538FC"/>
    <w:rsid w:val="00F56CC4"/>
    <w:rsid w:val="00F56F1E"/>
    <w:rsid w:val="00F6597B"/>
    <w:rsid w:val="00F6643A"/>
    <w:rsid w:val="00F66C59"/>
    <w:rsid w:val="00F677D1"/>
    <w:rsid w:val="00F74B01"/>
    <w:rsid w:val="00F74CB6"/>
    <w:rsid w:val="00F81DB0"/>
    <w:rsid w:val="00F8397F"/>
    <w:rsid w:val="00F85FEA"/>
    <w:rsid w:val="00F868BD"/>
    <w:rsid w:val="00F94B02"/>
    <w:rsid w:val="00F952AD"/>
    <w:rsid w:val="00F96E44"/>
    <w:rsid w:val="00F979D1"/>
    <w:rsid w:val="00FA17C8"/>
    <w:rsid w:val="00FA6248"/>
    <w:rsid w:val="00FA640B"/>
    <w:rsid w:val="00FB0DC4"/>
    <w:rsid w:val="00FB6176"/>
    <w:rsid w:val="00FC09B9"/>
    <w:rsid w:val="00FC2CC2"/>
    <w:rsid w:val="00FC7832"/>
    <w:rsid w:val="00FD0688"/>
    <w:rsid w:val="00FD2F76"/>
    <w:rsid w:val="00FD7334"/>
    <w:rsid w:val="00FE162B"/>
    <w:rsid w:val="00FE2267"/>
    <w:rsid w:val="00FE262B"/>
    <w:rsid w:val="00FE27E0"/>
    <w:rsid w:val="00FF0DD6"/>
    <w:rsid w:val="00FF0F17"/>
    <w:rsid w:val="00FF69C9"/>
    <w:rsid w:val="00FF6F6E"/>
    <w:rsid w:val="2A26FF51"/>
    <w:rsid w:val="34F7A7C9"/>
    <w:rsid w:val="358538FB"/>
    <w:rsid w:val="54997070"/>
    <w:rsid w:val="5FC722E4"/>
    <w:rsid w:val="65ADF584"/>
    <w:rsid w:val="6A46AA1E"/>
    <w:rsid w:val="6D83125C"/>
    <w:rsid w:val="73CF6285"/>
    <w:rsid w:val="74C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5D1642A"/>
  <w15:chartTrackingRefBased/>
  <w15:docId w15:val="{4E076204-9D26-48DB-AFC2-C85CBB61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 Bulleted List,Summary Bullets,Footer Setting,Bullet List,FooterText,List Paragraph1,numbered,Paragraphe de liste1,Bulletr List Paragraph,列出段落,列出段落1,List Paragraph2,List Paragraph21,Párrafo de lista1,Parágrafo da Lista1,リスト段落1"/>
    <w:basedOn w:val="Normal"/>
    <w:uiPriority w:val="34"/>
    <w:qFormat/>
    <w:rsid w:val="00A938D3"/>
    <w:pPr>
      <w:spacing w:after="200" w:line="276" w:lineRule="auto"/>
      <w:ind w:left="720"/>
      <w:contextualSpacing/>
    </w:pPr>
    <w:rPr>
      <w:rFonts w:eastAsia="SimSu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24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642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242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F1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1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199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94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543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979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9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6E3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C2CC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3483E"/>
  </w:style>
  <w:style w:type="character" w:customStyle="1" w:styleId="eop">
    <w:name w:val="eop"/>
    <w:basedOn w:val="DefaultParagraphFont"/>
    <w:rsid w:val="0013483E"/>
  </w:style>
  <w:style w:type="paragraph" w:customStyle="1" w:styleId="paragraph">
    <w:name w:val="paragraph"/>
    <w:basedOn w:val="Normal"/>
    <w:rsid w:val="008F0D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mo.org/guidelines/esmo-mcbs/esmo-mcbs-for-solid-tumours/esmo-mcbs-scorecards/scorecard-358-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wissmedicinfo.ch" TargetMode="External"/><Relationship Id="rId17" Type="http://schemas.openxmlformats.org/officeDocument/2006/relationships/hyperlink" Target="http://www.astrazeneca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wissmedicinfo.ch/Accept.aspx?ReturnUrl=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wissmedicinfo.ch/showText.aspx?textType=FI&amp;lang=FR&amp;authNr=68706&amp;supportMultipleResults=1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wissmedicinfo.ch/showText.aspx?textType=FI&amp;lang=FR&amp;authNr=66548&amp;supportMultipleResult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21D8C2A441489577DE371C1E3080" ma:contentTypeVersion="20" ma:contentTypeDescription="Create a new document." ma:contentTypeScope="" ma:versionID="df14d7104f4f691eb326ebdbda93e78d">
  <xsd:schema xmlns:xsd="http://www.w3.org/2001/XMLSchema" xmlns:xs="http://www.w3.org/2001/XMLSchema" xmlns:p="http://schemas.microsoft.com/office/2006/metadata/properties" xmlns:ns2="44a56295-c29e-4898-8136-a54736c65b82" xmlns:ns3="21928201-840e-40f5-a6ff-12effcc015a5" xmlns:ns4="ef439064-d120-4eea-8544-947ffa937be7" targetNamespace="http://schemas.microsoft.com/office/2006/metadata/properties" ma:root="true" ma:fieldsID="3290b29ff25e8741137d49a8818c7050" ns2:_="" ns3:_="" ns4:_="">
    <xsd:import namespace="44a56295-c29e-4898-8136-a54736c65b82"/>
    <xsd:import namespace="21928201-840e-40f5-a6ff-12effcc015a5"/>
    <xsd:import namespace="ef439064-d120-4eea-8544-947ffa937be7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8eb3872e-3db9-441a-9388-e55d17c3066d}" ma:internalName="TaxCatchAll" ma:showField="CatchAllData" ma:web="ef439064-d120-4eea-8544-947ffa937b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8201-840e-40f5-a6ff-12effcc01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39064-d120-4eea-8544-947ffa937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21928201-840e-40f5-a6ff-12effcc015a5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E09098D3-EE01-41F1-866E-4F9F1CC15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21928201-840e-40f5-a6ff-12effcc015a5"/>
    <ds:schemaRef ds:uri="ef439064-d120-4eea-8544-947ffa937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16CC8-C922-4A70-9B9D-105B2F6BE4BA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21928201-840e-40f5-a6ff-12effcc015a5"/>
  </ds:schemaRefs>
</ds:datastoreItem>
</file>

<file path=customXml/itemProps3.xml><?xml version="1.0" encoding="utf-8"?>
<ds:datastoreItem xmlns:ds="http://schemas.openxmlformats.org/officeDocument/2006/customXml" ds:itemID="{B0FBCFED-6371-468B-A5A6-536F0BAA3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02C01-F392-40DF-9DBF-68D03C683E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Links>
    <vt:vector size="30" baseType="variant"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https://www.swissmedicinfo.ch/</vt:lpwstr>
      </vt:variant>
      <vt:variant>
        <vt:lpwstr/>
      </vt:variant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https://doi.org/10.2147%2FOTT.S166151</vt:lpwstr>
      </vt:variant>
      <vt:variant>
        <vt:lpwstr/>
      </vt:variant>
      <vt:variant>
        <vt:i4>1835073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https://www.ncbi.nlm.nih.gov/pmc/articles/PMC6110629/</vt:lpwstr>
      </vt:variant>
      <vt:variant>
        <vt:lpwstr/>
      </vt:variant>
      <vt:variant>
        <vt:i4>3342456</vt:i4>
      </vt:variant>
      <vt:variant>
        <vt:i4>3</vt:i4>
      </vt:variant>
      <vt:variant>
        <vt:i4>0</vt:i4>
      </vt:variant>
      <vt:variant>
        <vt:i4>5</vt:i4>
      </vt:variant>
      <vt:variant>
        <vt:lpwstr>https://www.esmo.org/guidelines/esmo-mcbs/esmo-mcbs-for-solid-tumours/esmo-mcbs-scorecards/scorecard-358-1</vt:lpwstr>
      </vt:variant>
      <vt:variant>
        <vt:lpwstr/>
      </vt:variant>
      <vt:variant>
        <vt:i4>7012460</vt:i4>
      </vt:variant>
      <vt:variant>
        <vt:i4>0</vt:i4>
      </vt:variant>
      <vt:variant>
        <vt:i4>0</vt:i4>
      </vt:variant>
      <vt:variant>
        <vt:i4>5</vt:i4>
      </vt:variant>
      <vt:variant>
        <vt:lpwstr>https://www.swissmedicinfo.ch/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Karan, Sanja</dc:creator>
  <cp:keywords/>
  <dc:description/>
  <cp:lastModifiedBy>Peschke, Benjamin</cp:lastModifiedBy>
  <cp:revision>27</cp:revision>
  <dcterms:created xsi:type="dcterms:W3CDTF">2024-07-10T14:01:00Z</dcterms:created>
  <dcterms:modified xsi:type="dcterms:W3CDTF">2024-07-16T12:03:00Z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0x010100D98921D8C2A441489577DE371C1E3080</vt:lpwstr>
  </property>
  <property fmtid="{D5CDD505-2E9C-101B-9397-08002B2CF9AE}" pid="3" name="MediaServiceImageTags">
    <vt:lpwstr/>
  </property>
</Properties>
</file>