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3D4E" w14:textId="74DD99A9" w:rsidR="003336D3" w:rsidRDefault="009A220E" w:rsidP="001A06ED">
      <w:pPr>
        <w:jc w:val="both"/>
        <w:rPr>
          <w:color w:val="000000"/>
          <w:lang w:val="en-US"/>
        </w:rPr>
      </w:pPr>
      <w:r w:rsidRPr="003336D3">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417908A3" wp14:editId="7D6A392C">
                <wp:simplePos x="0" y="0"/>
                <wp:positionH relativeFrom="margin">
                  <wp:posOffset>-86360</wp:posOffset>
                </wp:positionH>
                <wp:positionV relativeFrom="paragraph">
                  <wp:posOffset>217170</wp:posOffset>
                </wp:positionV>
                <wp:extent cx="3177540" cy="1404620"/>
                <wp:effectExtent l="0" t="0" r="381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404620"/>
                        </a:xfrm>
                        <a:prstGeom prst="rect">
                          <a:avLst/>
                        </a:prstGeom>
                        <a:solidFill>
                          <a:srgbClr val="FFFFFF"/>
                        </a:solidFill>
                        <a:ln w="9525">
                          <a:noFill/>
                          <a:miter lim="800000"/>
                          <a:headEnd/>
                          <a:tailEnd/>
                        </a:ln>
                      </wps:spPr>
                      <wps:txbx>
                        <w:txbxContent>
                          <w:p w14:paraId="205649A9" w14:textId="77777777" w:rsidR="001F41D3" w:rsidRPr="001F41D3" w:rsidRDefault="0050550A" w:rsidP="00455399">
                            <w:pPr>
                              <w:rPr>
                                <w:rFonts w:ascii="Verdana" w:hAnsi="Verdana"/>
                                <w:sz w:val="20"/>
                                <w:szCs w:val="20"/>
                                <w:highlight w:val="yellow"/>
                                <w:lang w:val="it-CH"/>
                              </w:rPr>
                            </w:pPr>
                            <w:r w:rsidRPr="001F41D3">
                              <w:rPr>
                                <w:rFonts w:ascii="Verdana" w:hAnsi="Verdana"/>
                                <w:sz w:val="20"/>
                                <w:szCs w:val="20"/>
                                <w:highlight w:val="yellow"/>
                                <w:lang w:val="it-CH"/>
                              </w:rPr>
                              <w:t>Données d'assurance maladie</w:t>
                            </w:r>
                          </w:p>
                          <w:p w14:paraId="0468CC50" w14:textId="09364E2B" w:rsidR="003336D3" w:rsidRPr="00F0759E" w:rsidRDefault="001F41D3" w:rsidP="003336D3">
                            <w:pPr>
                              <w:rPr>
                                <w:rFonts w:ascii="Verdana" w:hAnsi="Verdana"/>
                                <w:sz w:val="20"/>
                                <w:szCs w:val="20"/>
                                <w:lang w:val="it-CH"/>
                              </w:rPr>
                            </w:pPr>
                            <w:r w:rsidRPr="001F41D3">
                              <w:rPr>
                                <w:rFonts w:ascii="Verdana" w:hAnsi="Verdana"/>
                                <w:sz w:val="20"/>
                                <w:szCs w:val="20"/>
                                <w:highlight w:val="yellow"/>
                                <w:lang w:val="it-CH"/>
                              </w:rPr>
                              <w:t>Médecin consultant</w:t>
                            </w:r>
                          </w:p>
                          <w:p w14:paraId="4372C01A" w14:textId="77777777" w:rsidR="003336D3" w:rsidRPr="00F0759E" w:rsidRDefault="003336D3" w:rsidP="003336D3">
                            <w:pPr>
                              <w:rPr>
                                <w:rFonts w:ascii="Verdana" w:hAnsi="Verdana"/>
                                <w:sz w:val="20"/>
                                <w:szCs w:val="20"/>
                                <w:lang w:val="it-C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908A3" id="_x0000_t202" coordsize="21600,21600" o:spt="202" path="m,l,21600r21600,l21600,xe">
                <v:stroke joinstyle="miter"/>
                <v:path gradientshapeok="t" o:connecttype="rect"/>
              </v:shapetype>
              <v:shape id="Text Box 4" o:spid="_x0000_s1026" type="#_x0000_t202" style="position:absolute;left:0;text-align:left;margin-left:-6.8pt;margin-top:17.1pt;width:250.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" stroked="f">
                <v:textbox style="mso-fit-shape-to-text:t">
                  <w:txbxContent>
                    <w:p w14:paraId="205649A9" w14:textId="77777777" w:rsidR="001F41D3" w:rsidRPr="001F41D3" w:rsidRDefault="0050550A" w:rsidP="00455399">
                      <w:pPr>
                        <w:rPr>
                          <w:rFonts w:ascii="Verdana" w:hAnsi="Verdana"/>
                          <w:sz w:val="20"/>
                          <w:szCs w:val="20"/>
                          <w:highlight w:val="yellow"/>
                          <w:lang w:val="it-CH"/>
                        </w:rPr>
                      </w:pPr>
                      <w:r w:rsidRPr="001F41D3">
                        <w:rPr>
                          <w:rFonts w:ascii="Verdana" w:hAnsi="Verdana"/>
                          <w:sz w:val="20"/>
                          <w:szCs w:val="20"/>
                          <w:highlight w:val="yellow"/>
                          <w:lang w:val="it-CH"/>
                        </w:rPr>
                        <w:t>Données d'assurance maladie</w:t>
                      </w:r>
                    </w:p>
                    <w:p w14:paraId="0468CC50" w14:textId="09364E2B" w:rsidR="003336D3" w:rsidRPr="00F0759E" w:rsidRDefault="001F41D3" w:rsidP="003336D3">
                      <w:pPr>
                        <w:rPr>
                          <w:rFonts w:ascii="Verdana" w:hAnsi="Verdana"/>
                          <w:sz w:val="20"/>
                          <w:szCs w:val="20"/>
                          <w:lang w:val="it-CH"/>
                        </w:rPr>
                      </w:pPr>
                      <w:r w:rsidRPr="001F41D3">
                        <w:rPr>
                          <w:rFonts w:ascii="Verdana" w:hAnsi="Verdana"/>
                          <w:sz w:val="20"/>
                          <w:szCs w:val="20"/>
                          <w:highlight w:val="yellow"/>
                          <w:lang w:val="it-CH"/>
                        </w:rPr>
                        <w:t>Médecin consultant</w:t>
                      </w:r>
                    </w:p>
                    <w:p w14:paraId="4372C01A" w14:textId="77777777" w:rsidR="003336D3" w:rsidRPr="00F0759E" w:rsidRDefault="003336D3" w:rsidP="003336D3">
                      <w:pPr>
                        <w:rPr>
                          <w:rFonts w:ascii="Verdana" w:hAnsi="Verdana"/>
                          <w:sz w:val="20"/>
                          <w:szCs w:val="20"/>
                          <w:lang w:val="it-CH"/>
                        </w:rPr>
                      </w:pPr>
                    </w:p>
                  </w:txbxContent>
                </v:textbox>
                <w10:wrap type="square" anchorx="margin"/>
              </v:shape>
            </w:pict>
          </mc:Fallback>
        </mc:AlternateContent>
      </w:r>
      <w:r w:rsidR="00210484" w:rsidRPr="00C81CBC">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49C26F8B" wp14:editId="44681B7D">
                <wp:simplePos x="0" y="0"/>
                <wp:positionH relativeFrom="column">
                  <wp:posOffset>2552700</wp:posOffset>
                </wp:positionH>
                <wp:positionV relativeFrom="paragraph">
                  <wp:posOffset>185420</wp:posOffset>
                </wp:positionV>
                <wp:extent cx="314325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noFill/>
                          <a:miter lim="800000"/>
                          <a:headEnd/>
                          <a:tailEnd/>
                        </a:ln>
                      </wps:spPr>
                      <wps:txbx>
                        <w:txbxContent>
                          <w:p w14:paraId="5AAAAB82" w14:textId="5F8C06F1" w:rsidR="00EB7F02" w:rsidRPr="00EC4090" w:rsidRDefault="00457BDC" w:rsidP="004C187F">
                            <w:pPr>
                              <w:jc w:val="right"/>
                              <w:rPr>
                                <w:rFonts w:ascii="Verdana" w:hAnsi="Verdana"/>
                                <w:sz w:val="20"/>
                                <w:szCs w:val="20"/>
                                <w:highlight w:val="yellow"/>
                                <w:lang w:val="it-CH"/>
                              </w:rPr>
                            </w:pPr>
                            <w:r w:rsidRPr="00EC4090">
                              <w:rPr>
                                <w:rFonts w:ascii="Verdana" w:hAnsi="Verdana"/>
                                <w:sz w:val="20"/>
                                <w:szCs w:val="20"/>
                                <w:highlight w:val="yellow"/>
                                <w:lang w:val="it-CH"/>
                              </w:rPr>
                              <w:t>Données personnelles du médecin spécialiste</w:t>
                            </w:r>
                          </w:p>
                          <w:p w14:paraId="3D894A1F" w14:textId="4CEC5A1E" w:rsidR="00C81CBC" w:rsidRPr="00F0759E" w:rsidRDefault="00EC4090" w:rsidP="00EC4090">
                            <w:pPr>
                              <w:jc w:val="right"/>
                              <w:rPr>
                                <w:rFonts w:ascii="Verdana" w:hAnsi="Verdana"/>
                                <w:sz w:val="20"/>
                                <w:szCs w:val="20"/>
                                <w:lang w:val="it-CH"/>
                              </w:rPr>
                            </w:pPr>
                            <w:r w:rsidRPr="00EC4090">
                              <w:rPr>
                                <w:rFonts w:ascii="Verdana" w:hAnsi="Verdana"/>
                                <w:sz w:val="20"/>
                                <w:szCs w:val="20"/>
                                <w:highlight w:val="yellow"/>
                                <w:lang w:val="it-CH"/>
                              </w:rPr>
                              <w:t>Numéro de téléphone du médecin spécialiste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26F8B" id="Text Box 3" o:spid="_x0000_s1027" type="#_x0000_t202" style="position:absolute;left:0;text-align:left;margin-left:201pt;margin-top:14.6pt;width:24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" stroked="f">
                <v:textbox style="mso-fit-shape-to-text:t">
                  <w:txbxContent>
                    <w:p w14:paraId="5AAAAB82" w14:textId="5F8C06F1" w:rsidR="00EB7F02" w:rsidRPr="00EC4090" w:rsidRDefault="00457BDC" w:rsidP="004C187F">
                      <w:pPr>
                        <w:jc w:val="right"/>
                        <w:rPr>
                          <w:rFonts w:ascii="Verdana" w:hAnsi="Verdana"/>
                          <w:sz w:val="20"/>
                          <w:szCs w:val="20"/>
                          <w:highlight w:val="yellow"/>
                          <w:lang w:val="it-CH"/>
                        </w:rPr>
                      </w:pPr>
                      <w:r w:rsidRPr="00EC4090">
                        <w:rPr>
                          <w:rFonts w:ascii="Verdana" w:hAnsi="Verdana"/>
                          <w:sz w:val="20"/>
                          <w:szCs w:val="20"/>
                          <w:highlight w:val="yellow"/>
                          <w:lang w:val="it-CH"/>
                        </w:rPr>
                        <w:t>Données personnelles du médecin spécialiste</w:t>
                      </w:r>
                    </w:p>
                    <w:p w14:paraId="3D894A1F" w14:textId="4CEC5A1E" w:rsidR="00C81CBC" w:rsidRPr="00F0759E" w:rsidRDefault="00EC4090" w:rsidP="00EC4090">
                      <w:pPr>
                        <w:jc w:val="right"/>
                        <w:rPr>
                          <w:rFonts w:ascii="Verdana" w:hAnsi="Verdana"/>
                          <w:sz w:val="20"/>
                          <w:szCs w:val="20"/>
                          <w:lang w:val="it-CH"/>
                        </w:rPr>
                      </w:pPr>
                      <w:r w:rsidRPr="00EC4090">
                        <w:rPr>
                          <w:rFonts w:ascii="Verdana" w:hAnsi="Verdana"/>
                          <w:sz w:val="20"/>
                          <w:szCs w:val="20"/>
                          <w:highlight w:val="yellow"/>
                          <w:lang w:val="it-CH"/>
                        </w:rPr>
                        <w:t>Numéro de téléphone du médecin spécialiste</w:t>
                      </w:r>
                    </w:p>
                  </w:txbxContent>
                </v:textbox>
                <w10:wrap type="square"/>
              </v:shape>
            </w:pict>
          </mc:Fallback>
        </mc:AlternateContent>
      </w:r>
    </w:p>
    <w:p w14:paraId="1AED77FC" w14:textId="675C4B86" w:rsidR="003336D3" w:rsidRDefault="003336D3" w:rsidP="001A06ED">
      <w:pPr>
        <w:jc w:val="both"/>
        <w:rPr>
          <w:color w:val="000000"/>
          <w:lang w:val="en-US"/>
        </w:rPr>
      </w:pPr>
    </w:p>
    <w:p w14:paraId="08116135" w14:textId="52A5FE57" w:rsidR="003336D3" w:rsidRDefault="007645A0" w:rsidP="001A06ED">
      <w:pPr>
        <w:jc w:val="both"/>
        <w:rPr>
          <w:color w:val="000000"/>
          <w:lang w:val="en-US"/>
        </w:rPr>
      </w:pPr>
      <w:r w:rsidRPr="007645A0">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1CAE48D" wp14:editId="330DAAF3">
                <wp:simplePos x="0" y="0"/>
                <wp:positionH relativeFrom="margin">
                  <wp:posOffset>-87687</wp:posOffset>
                </wp:positionH>
                <wp:positionV relativeFrom="paragraph">
                  <wp:posOffset>64770</wp:posOffset>
                </wp:positionV>
                <wp:extent cx="1955800" cy="260350"/>
                <wp:effectExtent l="0" t="0" r="635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60350"/>
                        </a:xfrm>
                        <a:prstGeom prst="rect">
                          <a:avLst/>
                        </a:prstGeom>
                        <a:solidFill>
                          <a:srgbClr val="FFFFFF"/>
                        </a:solidFill>
                        <a:ln w="9525">
                          <a:noFill/>
                          <a:miter lim="800000"/>
                          <a:headEnd/>
                          <a:tailEnd/>
                        </a:ln>
                      </wps:spPr>
                      <wps:txbx>
                        <w:txbxContent>
                          <w:p w14:paraId="351E6B7F" w14:textId="02A46DE8" w:rsidR="007645A0" w:rsidRPr="00F0759E" w:rsidRDefault="00EC4090" w:rsidP="007645A0">
                            <w:pPr>
                              <w:rPr>
                                <w:rFonts w:ascii="Verdana" w:hAnsi="Verdana"/>
                                <w:sz w:val="20"/>
                                <w:szCs w:val="20"/>
                                <w:lang w:val="en-US"/>
                              </w:rPr>
                            </w:pPr>
                            <w:r w:rsidRPr="00EC4090">
                              <w:rPr>
                                <w:rFonts w:ascii="Verdana" w:hAnsi="Verdana"/>
                                <w:sz w:val="20"/>
                                <w:szCs w:val="20"/>
                                <w:highlight w:val="yellow"/>
                              </w:rPr>
                              <w:t>Lieu,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AE48D" id="Text Box 6" o:spid="_x0000_s1028" type="#_x0000_t202" style="position:absolute;left:0;text-align:left;margin-left:-6.9pt;margin-top:5.1pt;width:154pt;height:2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Q7EAIAAP0DAAAOAAAAZHJzL2Uyb0RvYy54bWysU9tu2zAMfR+wfxD0vtjJ4q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" stroked="f">
                <v:textbox>
                  <w:txbxContent>
                    <w:p w14:paraId="351E6B7F" w14:textId="02A46DE8" w:rsidR="007645A0" w:rsidRPr="00F0759E" w:rsidRDefault="00EC4090" w:rsidP="007645A0">
                      <w:pPr>
                        <w:rPr>
                          <w:rFonts w:ascii="Verdana" w:hAnsi="Verdana"/>
                          <w:sz w:val="20"/>
                          <w:szCs w:val="20"/>
                          <w:lang w:val="en-US"/>
                        </w:rPr>
                      </w:pPr>
                      <w:r w:rsidRPr="00EC4090">
                        <w:rPr>
                          <w:rFonts w:ascii="Verdana" w:hAnsi="Verdana"/>
                          <w:sz w:val="20"/>
                          <w:szCs w:val="20"/>
                          <w:highlight w:val="yellow"/>
                        </w:rPr>
                        <w:t>Lieu, Date</w:t>
                      </w:r>
                    </w:p>
                  </w:txbxContent>
                </v:textbox>
                <w10:wrap type="square" anchorx="margin"/>
              </v:shape>
            </w:pict>
          </mc:Fallback>
        </mc:AlternateContent>
      </w:r>
    </w:p>
    <w:p w14:paraId="0AE698BF" w14:textId="77777777" w:rsidR="003336D3" w:rsidRDefault="003336D3" w:rsidP="001A06ED">
      <w:pPr>
        <w:jc w:val="both"/>
        <w:rPr>
          <w:color w:val="000000"/>
          <w:lang w:val="en-US"/>
        </w:rPr>
      </w:pPr>
    </w:p>
    <w:p w14:paraId="415EE610" w14:textId="77777777" w:rsidR="007645A0" w:rsidRDefault="007645A0" w:rsidP="001A06ED">
      <w:pPr>
        <w:jc w:val="both"/>
        <w:rPr>
          <w:color w:val="000000"/>
          <w:lang w:val="en-US"/>
        </w:rPr>
      </w:pPr>
    </w:p>
    <w:p w14:paraId="792C8713" w14:textId="47828B7B" w:rsidR="00E760C6" w:rsidRDefault="00E132AB" w:rsidP="001A06ED">
      <w:pPr>
        <w:jc w:val="both"/>
        <w:rPr>
          <w:rFonts w:ascii="Verdana" w:hAnsi="Verdana"/>
          <w:b/>
          <w:bCs/>
          <w:color w:val="000000"/>
          <w:sz w:val="20"/>
          <w:szCs w:val="20"/>
          <w:lang w:val="en-US"/>
        </w:rPr>
      </w:pPr>
      <w:r w:rsidRPr="6188EA84">
        <w:rPr>
          <w:rFonts w:ascii="Verdana" w:hAnsi="Verdana"/>
          <w:b/>
          <w:bCs/>
          <w:color w:val="000000" w:themeColor="text1"/>
          <w:sz w:val="20"/>
          <w:szCs w:val="20"/>
          <w:lang w:val="en-US"/>
        </w:rPr>
        <w:t>Demande de remboursement</w:t>
      </w:r>
      <w:r w:rsidR="2E7B7600" w:rsidRPr="6188EA84">
        <w:rPr>
          <w:rFonts w:ascii="Verdana" w:hAnsi="Verdana"/>
          <w:b/>
          <w:bCs/>
          <w:color w:val="000000" w:themeColor="text1"/>
          <w:sz w:val="20"/>
          <w:szCs w:val="20"/>
          <w:lang w:val="en-US"/>
        </w:rPr>
        <w:t xml:space="preserve"> dans le cadre de l’article 71</w:t>
      </w:r>
      <w:r w:rsidRPr="6188EA84">
        <w:rPr>
          <w:rFonts w:ascii="Verdana" w:hAnsi="Verdana"/>
          <w:b/>
          <w:bCs/>
          <w:color w:val="000000" w:themeColor="text1"/>
          <w:sz w:val="20"/>
          <w:szCs w:val="20"/>
          <w:lang w:val="en-US"/>
        </w:rPr>
        <w:t xml:space="preserve"> pour Imfinzi en association avec la gemcitabine et le cisplatine (GemCis) pour le traitement de première ligne (1L) des patients adultes atteints d'un cancer des voies biliaires localement avancé ou métastatique (BTC)</w:t>
      </w:r>
    </w:p>
    <w:p w14:paraId="430FED05" w14:textId="77777777" w:rsidR="00E132AB" w:rsidRPr="00E132AB" w:rsidRDefault="00E132AB" w:rsidP="001A06ED">
      <w:pPr>
        <w:jc w:val="both"/>
        <w:rPr>
          <w:rFonts w:ascii="Verdana" w:hAnsi="Verdana"/>
          <w:color w:val="000000"/>
          <w:lang w:val="en-US"/>
        </w:rPr>
      </w:pPr>
    </w:p>
    <w:p w14:paraId="64BFCCC7" w14:textId="7C578D99" w:rsidR="00BD1125" w:rsidRPr="00B90449" w:rsidRDefault="002346DF" w:rsidP="00BD1125">
      <w:pPr>
        <w:rPr>
          <w:rFonts w:ascii="Verdana" w:hAnsi="Verdana"/>
          <w:sz w:val="20"/>
          <w:szCs w:val="20"/>
          <w:highlight w:val="yellow"/>
          <w:lang w:val="it-CH"/>
        </w:rPr>
      </w:pPr>
      <w:r w:rsidRPr="00B90449">
        <w:rPr>
          <w:rFonts w:ascii="Verdana" w:hAnsi="Verdana"/>
          <w:sz w:val="20"/>
          <w:szCs w:val="20"/>
          <w:highlight w:val="yellow"/>
          <w:lang w:val="it-CH"/>
        </w:rPr>
        <w:t>Informations sur le patient, numéro d'assurance maladie</w:t>
      </w:r>
      <w:r w:rsidR="00E02269" w:rsidRPr="00B90449">
        <w:rPr>
          <w:rFonts w:ascii="Verdana" w:hAnsi="Verdana"/>
          <w:sz w:val="20"/>
          <w:szCs w:val="20"/>
          <w:highlight w:val="yellow"/>
          <w:lang w:val="it-CH"/>
        </w:rPr>
        <w:t xml:space="preserve"> </w:t>
      </w:r>
      <w:r w:rsidR="00BD1125" w:rsidRPr="00B90449">
        <w:rPr>
          <w:rFonts w:ascii="Verdana" w:hAnsi="Verdana"/>
          <w:sz w:val="20"/>
          <w:szCs w:val="20"/>
          <w:highlight w:val="yellow"/>
          <w:lang w:val="it-CH"/>
        </w:rPr>
        <w:t xml:space="preserve"> </w:t>
      </w:r>
    </w:p>
    <w:p w14:paraId="29AEC696" w14:textId="77777777" w:rsidR="00BD1125" w:rsidRPr="00B90449" w:rsidRDefault="00BD1125" w:rsidP="001A06ED">
      <w:pPr>
        <w:jc w:val="both"/>
        <w:rPr>
          <w:color w:val="000000"/>
          <w:sz w:val="20"/>
          <w:szCs w:val="20"/>
          <w:lang w:val="it-CH"/>
        </w:rPr>
      </w:pPr>
    </w:p>
    <w:p w14:paraId="525F718B" w14:textId="77777777" w:rsidR="002028B4" w:rsidRPr="00B90449" w:rsidRDefault="002028B4" w:rsidP="001A06ED">
      <w:pPr>
        <w:jc w:val="both"/>
        <w:rPr>
          <w:color w:val="000000"/>
          <w:sz w:val="20"/>
          <w:szCs w:val="20"/>
          <w:lang w:val="it-CH"/>
        </w:rPr>
      </w:pPr>
    </w:p>
    <w:p w14:paraId="0EEA8173" w14:textId="3F96D37F" w:rsidR="00B358DA" w:rsidRPr="00B90449" w:rsidRDefault="07B9E314" w:rsidP="00B358DA">
      <w:pPr>
        <w:jc w:val="both"/>
        <w:rPr>
          <w:rFonts w:ascii="Verdana" w:hAnsi="Verdana"/>
          <w:color w:val="000000"/>
          <w:sz w:val="20"/>
          <w:szCs w:val="20"/>
          <w:lang w:val="it-CH"/>
        </w:rPr>
      </w:pPr>
      <w:r w:rsidRPr="00B90449">
        <w:rPr>
          <w:rFonts w:ascii="Verdana" w:hAnsi="Verdana"/>
          <w:color w:val="000000" w:themeColor="text1"/>
          <w:sz w:val="20"/>
          <w:szCs w:val="20"/>
          <w:lang w:val="it-CH"/>
        </w:rPr>
        <w:t>Chère consoeur, cher confrère</w:t>
      </w:r>
      <w:r w:rsidR="00B358DA" w:rsidRPr="00B90449">
        <w:rPr>
          <w:rFonts w:ascii="Verdana" w:hAnsi="Verdana"/>
          <w:color w:val="000000" w:themeColor="text1"/>
          <w:sz w:val="20"/>
          <w:szCs w:val="20"/>
          <w:lang w:val="it-CH"/>
        </w:rPr>
        <w:t>,</w:t>
      </w:r>
    </w:p>
    <w:p w14:paraId="5574DE4F" w14:textId="77777777" w:rsidR="00B358DA" w:rsidRPr="00B90449" w:rsidRDefault="00B358DA" w:rsidP="00B358DA">
      <w:pPr>
        <w:jc w:val="both"/>
        <w:rPr>
          <w:rFonts w:ascii="Verdana" w:hAnsi="Verdana"/>
          <w:color w:val="000000"/>
          <w:sz w:val="20"/>
          <w:szCs w:val="20"/>
          <w:lang w:val="it-CH"/>
        </w:rPr>
      </w:pPr>
    </w:p>
    <w:p w14:paraId="436AA503" w14:textId="7F816C1D" w:rsidR="00F94B02" w:rsidRPr="00B90449" w:rsidRDefault="00B358DA" w:rsidP="00B358DA">
      <w:pPr>
        <w:jc w:val="both"/>
        <w:rPr>
          <w:rFonts w:ascii="Verdana" w:hAnsi="Verdana"/>
          <w:color w:val="000000"/>
          <w:sz w:val="20"/>
          <w:szCs w:val="20"/>
          <w:lang w:val="it-CH"/>
        </w:rPr>
      </w:pPr>
      <w:r w:rsidRPr="00B90449">
        <w:rPr>
          <w:rFonts w:ascii="Verdana" w:hAnsi="Verdana"/>
          <w:color w:val="000000"/>
          <w:sz w:val="20"/>
          <w:szCs w:val="20"/>
          <w:lang w:val="it-CH"/>
        </w:rPr>
        <w:t xml:space="preserve">Le patient ci-dessus a reçu un diagnostic de cancer des voies biliaires </w:t>
      </w:r>
      <w:r w:rsidRPr="00B90449">
        <w:rPr>
          <w:rFonts w:ascii="Verdana" w:hAnsi="Verdana"/>
          <w:color w:val="000000"/>
          <w:sz w:val="20"/>
          <w:szCs w:val="20"/>
          <w:highlight w:val="yellow"/>
          <w:lang w:val="it-CH"/>
        </w:rPr>
        <w:t>localement avancé/métastatique</w:t>
      </w:r>
      <w:r w:rsidRPr="00B90449">
        <w:rPr>
          <w:rFonts w:ascii="Verdana" w:hAnsi="Verdana"/>
          <w:color w:val="000000"/>
          <w:sz w:val="20"/>
          <w:szCs w:val="20"/>
          <w:lang w:val="it-CH"/>
        </w:rPr>
        <w:t xml:space="preserve"> le </w:t>
      </w:r>
      <w:r w:rsidRPr="00B90449">
        <w:rPr>
          <w:rFonts w:ascii="Verdana" w:hAnsi="Verdana"/>
          <w:color w:val="000000"/>
          <w:sz w:val="20"/>
          <w:szCs w:val="20"/>
          <w:highlight w:val="yellow"/>
          <w:lang w:val="it-CH"/>
        </w:rPr>
        <w:t>xxx</w:t>
      </w:r>
      <w:r w:rsidRPr="00B90449">
        <w:rPr>
          <w:rFonts w:ascii="Verdana" w:hAnsi="Verdana"/>
          <w:color w:val="000000"/>
          <w:sz w:val="20"/>
          <w:szCs w:val="20"/>
          <w:lang w:val="it-CH"/>
        </w:rPr>
        <w:t xml:space="preserve"> et n'a reçu aucun traitement de première ligne</w:t>
      </w:r>
      <w:r w:rsidR="00B13F18" w:rsidRPr="00B90449">
        <w:rPr>
          <w:rFonts w:ascii="Verdana" w:hAnsi="Verdana"/>
          <w:color w:val="000000"/>
          <w:sz w:val="20"/>
          <w:szCs w:val="20"/>
          <w:lang w:val="it-CH"/>
        </w:rPr>
        <w:t>.</w:t>
      </w:r>
    </w:p>
    <w:p w14:paraId="703D039C" w14:textId="6FC07433" w:rsidR="002E3D6A" w:rsidRPr="00B90449" w:rsidRDefault="002E3D6A" w:rsidP="001A06ED">
      <w:pPr>
        <w:jc w:val="both"/>
        <w:rPr>
          <w:rFonts w:ascii="Verdana" w:hAnsi="Verdana"/>
          <w:color w:val="000000"/>
          <w:sz w:val="20"/>
          <w:szCs w:val="20"/>
          <w:lang w:val="it-CH"/>
        </w:rPr>
      </w:pPr>
    </w:p>
    <w:p w14:paraId="47AABBFE" w14:textId="69CEC7C3" w:rsidR="00713E51" w:rsidRPr="001E3D79" w:rsidRDefault="00BE7D1B" w:rsidP="001A06ED">
      <w:pPr>
        <w:jc w:val="both"/>
        <w:rPr>
          <w:rFonts w:ascii="Verdana" w:hAnsi="Verdana"/>
          <w:i/>
          <w:iCs/>
          <w:sz w:val="20"/>
          <w:szCs w:val="20"/>
          <w:lang w:val="it-CH"/>
        </w:rPr>
      </w:pPr>
      <w:r w:rsidRPr="001E3D79">
        <w:rPr>
          <w:rFonts w:ascii="Verdana" w:hAnsi="Verdana"/>
          <w:i/>
          <w:iCs/>
          <w:sz w:val="20"/>
          <w:szCs w:val="20"/>
          <w:lang w:val="it-CH"/>
        </w:rPr>
        <w:t>Imfinzi en association avec la gemcitabine et le cisplatine est indiqué pour le traitement de première intention des patients adultes atteints d'un cancer des voies biliaires localement avancé ou métastatique</w:t>
      </w:r>
      <w:r w:rsidR="006A1E42" w:rsidRPr="001E3D79">
        <w:rPr>
          <w:rFonts w:ascii="Verdana" w:hAnsi="Verdana"/>
          <w:i/>
          <w:iCs/>
          <w:sz w:val="20"/>
          <w:szCs w:val="20"/>
          <w:vertAlign w:val="superscript"/>
          <w:lang w:val="it-CH"/>
        </w:rPr>
        <w:t>1</w:t>
      </w:r>
      <w:r w:rsidR="00F32637" w:rsidRPr="001E3D79">
        <w:rPr>
          <w:rFonts w:ascii="Verdana" w:hAnsi="Verdana"/>
          <w:i/>
          <w:iCs/>
          <w:sz w:val="20"/>
          <w:szCs w:val="20"/>
          <w:lang w:val="it-CH"/>
        </w:rPr>
        <w:t>.</w:t>
      </w:r>
    </w:p>
    <w:p w14:paraId="10E89E37" w14:textId="77777777" w:rsidR="00AA666F" w:rsidRPr="00B90449" w:rsidRDefault="00AA666F" w:rsidP="001A06ED">
      <w:pPr>
        <w:jc w:val="both"/>
        <w:rPr>
          <w:rFonts w:ascii="Verdana" w:hAnsi="Verdana"/>
          <w:color w:val="000000"/>
          <w:lang w:val="it-CH"/>
        </w:rPr>
      </w:pPr>
    </w:p>
    <w:p w14:paraId="265C70CB" w14:textId="117A0357" w:rsidR="002B1E18" w:rsidRPr="00B90449" w:rsidRDefault="73555052" w:rsidP="001A06ED">
      <w:pPr>
        <w:jc w:val="both"/>
        <w:rPr>
          <w:rFonts w:ascii="Verdana" w:hAnsi="Verdana"/>
          <w:sz w:val="20"/>
          <w:szCs w:val="20"/>
          <w:lang w:val="it-CH"/>
        </w:rPr>
      </w:pPr>
      <w:r w:rsidRPr="00B90449">
        <w:rPr>
          <w:rFonts w:ascii="Verdana" w:hAnsi="Verdana"/>
          <w:color w:val="000000" w:themeColor="text1"/>
          <w:sz w:val="20"/>
          <w:szCs w:val="20"/>
          <w:lang w:val="it-CH"/>
        </w:rPr>
        <w:t>L’a</w:t>
      </w:r>
      <w:r w:rsidR="006E07A0" w:rsidRPr="00B90449">
        <w:rPr>
          <w:rFonts w:ascii="Verdana" w:hAnsi="Verdana"/>
          <w:color w:val="000000" w:themeColor="text1"/>
          <w:sz w:val="20"/>
          <w:szCs w:val="20"/>
          <w:lang w:val="it-CH"/>
        </w:rPr>
        <w:t>pprobation par Swissmedic d'Imfinzi en association avec GemCis pour les patients adultes atteints d</w:t>
      </w:r>
      <w:r w:rsidR="373A1233" w:rsidRPr="00B90449">
        <w:rPr>
          <w:rFonts w:ascii="Verdana" w:hAnsi="Verdana"/>
          <w:color w:val="000000" w:themeColor="text1"/>
          <w:sz w:val="20"/>
          <w:szCs w:val="20"/>
          <w:lang w:val="it-CH"/>
        </w:rPr>
        <w:t>’un cancer des voies biliaires</w:t>
      </w:r>
      <w:r w:rsidR="006E07A0" w:rsidRPr="00B90449">
        <w:rPr>
          <w:rFonts w:ascii="Verdana" w:hAnsi="Verdana"/>
          <w:color w:val="000000" w:themeColor="text1"/>
          <w:sz w:val="20"/>
          <w:szCs w:val="20"/>
          <w:lang w:val="it-CH"/>
        </w:rPr>
        <w:t xml:space="preserve"> localement avancé ou métastatique </w:t>
      </w:r>
      <w:r w:rsidR="080A564D" w:rsidRPr="00B90449">
        <w:rPr>
          <w:rFonts w:ascii="Verdana" w:hAnsi="Verdana"/>
          <w:color w:val="000000" w:themeColor="text1"/>
          <w:sz w:val="20"/>
          <w:szCs w:val="20"/>
          <w:lang w:val="it-CH"/>
        </w:rPr>
        <w:t>est</w:t>
      </w:r>
      <w:r w:rsidR="006E07A0" w:rsidRPr="00B90449">
        <w:rPr>
          <w:rFonts w:ascii="Verdana" w:hAnsi="Verdana"/>
          <w:color w:val="000000" w:themeColor="text1"/>
          <w:sz w:val="20"/>
          <w:szCs w:val="20"/>
          <w:lang w:val="it-CH"/>
        </w:rPr>
        <w:t xml:space="preserve"> bas</w:t>
      </w:r>
      <w:r w:rsidR="04F577B7" w:rsidRPr="00B90449">
        <w:rPr>
          <w:rFonts w:ascii="Verdana" w:hAnsi="Verdana"/>
          <w:color w:val="000000" w:themeColor="text1"/>
          <w:sz w:val="20"/>
          <w:szCs w:val="20"/>
          <w:lang w:val="it-CH"/>
        </w:rPr>
        <w:t>ée</w:t>
      </w:r>
      <w:r w:rsidR="006E07A0" w:rsidRPr="00B90449">
        <w:rPr>
          <w:rFonts w:ascii="Verdana" w:hAnsi="Verdana"/>
          <w:color w:val="000000" w:themeColor="text1"/>
          <w:sz w:val="20"/>
          <w:szCs w:val="20"/>
          <w:lang w:val="it-CH"/>
        </w:rPr>
        <w:t xml:space="preserve"> </w:t>
      </w:r>
      <w:r w:rsidR="4A27075E" w:rsidRPr="00B90449">
        <w:rPr>
          <w:rFonts w:ascii="Verdana" w:hAnsi="Verdana"/>
          <w:color w:val="000000" w:themeColor="text1"/>
          <w:sz w:val="20"/>
          <w:szCs w:val="20"/>
          <w:lang w:val="it-CH"/>
        </w:rPr>
        <w:t>sur l</w:t>
      </w:r>
      <w:r w:rsidR="006E07A0" w:rsidRPr="00B90449">
        <w:rPr>
          <w:rFonts w:ascii="Verdana" w:hAnsi="Verdana"/>
          <w:color w:val="000000" w:themeColor="text1"/>
          <w:sz w:val="20"/>
          <w:szCs w:val="20"/>
          <w:lang w:val="it-CH"/>
        </w:rPr>
        <w:t>es résultats de l'étude TOPAZ-1</w:t>
      </w:r>
      <w:r w:rsidR="005C1BA8" w:rsidRPr="00B90449">
        <w:rPr>
          <w:rFonts w:ascii="Verdana" w:hAnsi="Verdana"/>
          <w:sz w:val="20"/>
          <w:szCs w:val="20"/>
          <w:lang w:val="it-CH"/>
        </w:rPr>
        <w:t>.</w:t>
      </w:r>
      <w:r w:rsidR="00217E50" w:rsidRPr="00B90449">
        <w:rPr>
          <w:rFonts w:ascii="Verdana" w:hAnsi="Verdana"/>
          <w:sz w:val="20"/>
          <w:szCs w:val="20"/>
          <w:vertAlign w:val="superscript"/>
          <w:lang w:val="it-CH"/>
        </w:rPr>
        <w:t>2</w:t>
      </w:r>
    </w:p>
    <w:p w14:paraId="59E4C5C0" w14:textId="77777777" w:rsidR="00A82E86" w:rsidRPr="00B90449" w:rsidRDefault="00A82E86" w:rsidP="001A06ED">
      <w:pPr>
        <w:jc w:val="both"/>
        <w:rPr>
          <w:rFonts w:ascii="Verdana" w:hAnsi="Verdana"/>
          <w:sz w:val="20"/>
          <w:szCs w:val="20"/>
          <w:lang w:val="it-CH"/>
        </w:rPr>
      </w:pPr>
    </w:p>
    <w:p w14:paraId="33D9EF77" w14:textId="13BFDD4D" w:rsidR="00517270" w:rsidRPr="00B90449" w:rsidRDefault="00664B68" w:rsidP="009B2E27">
      <w:pPr>
        <w:jc w:val="both"/>
        <w:rPr>
          <w:rFonts w:ascii="Verdana" w:hAnsi="Verdana"/>
          <w:color w:val="000000"/>
          <w:sz w:val="20"/>
          <w:szCs w:val="20"/>
          <w:vertAlign w:val="superscript"/>
          <w:lang w:val="it-CH"/>
        </w:rPr>
      </w:pPr>
      <w:r w:rsidRPr="00B90449">
        <w:rPr>
          <w:rFonts w:ascii="Verdana" w:hAnsi="Verdana"/>
          <w:color w:val="000000" w:themeColor="text1"/>
          <w:sz w:val="20"/>
          <w:szCs w:val="20"/>
          <w:lang w:val="it-CH"/>
        </w:rPr>
        <w:t xml:space="preserve">Le </w:t>
      </w:r>
      <w:r w:rsidR="16145601" w:rsidRPr="00B90449">
        <w:rPr>
          <w:rFonts w:ascii="Verdana" w:hAnsi="Verdana"/>
          <w:color w:val="000000" w:themeColor="text1"/>
          <w:sz w:val="20"/>
          <w:szCs w:val="20"/>
          <w:lang w:val="it-CH"/>
        </w:rPr>
        <w:t>cancer des voies biliaires</w:t>
      </w:r>
      <w:r w:rsidRPr="00B90449">
        <w:rPr>
          <w:rFonts w:ascii="Verdana" w:hAnsi="Verdana"/>
          <w:color w:val="000000" w:themeColor="text1"/>
          <w:sz w:val="20"/>
          <w:szCs w:val="20"/>
          <w:lang w:val="it-CH"/>
        </w:rPr>
        <w:t xml:space="preserve"> localement avancé/métastatique est une maladie incurable avec une survie globale (SG) médiane inférieure à un an et un taux de survie 24 </w:t>
      </w:r>
      <w:r w:rsidR="002E50FC" w:rsidRPr="002E50FC">
        <w:rPr>
          <w:rFonts w:ascii="Verdana" w:hAnsi="Verdana"/>
          <w:color w:val="000000" w:themeColor="text1"/>
          <w:sz w:val="20"/>
          <w:szCs w:val="20"/>
          <w:lang w:val="en-CH"/>
        </w:rPr>
        <w:t>mois</w:t>
      </w:r>
      <w:r w:rsidR="002E50FC" w:rsidRPr="002E50FC">
        <w:rPr>
          <w:rFonts w:ascii="Verdana" w:hAnsi="Verdana"/>
          <w:color w:val="000000" w:themeColor="text1"/>
          <w:sz w:val="20"/>
          <w:szCs w:val="20"/>
          <w:lang w:val="it-CH"/>
        </w:rPr>
        <w:t xml:space="preserve"> estimé à environ 15 %</w:t>
      </w:r>
      <w:r w:rsidR="00B4353B" w:rsidRPr="00B90449">
        <w:rPr>
          <w:rFonts w:ascii="Verdana" w:hAnsi="Verdana"/>
          <w:color w:val="000000" w:themeColor="text1"/>
          <w:sz w:val="20"/>
          <w:szCs w:val="20"/>
          <w:lang w:val="it-CH"/>
        </w:rPr>
        <w:t>.</w:t>
      </w:r>
      <w:r w:rsidR="00B4353B" w:rsidRPr="00B90449">
        <w:rPr>
          <w:rFonts w:ascii="Verdana" w:hAnsi="Verdana"/>
          <w:color w:val="000000" w:themeColor="text1"/>
          <w:sz w:val="20"/>
          <w:szCs w:val="20"/>
          <w:vertAlign w:val="superscript"/>
          <w:lang w:val="it-CH"/>
        </w:rPr>
        <w:t>2</w:t>
      </w:r>
      <w:r w:rsidR="005A3E2B" w:rsidRPr="00B90449">
        <w:rPr>
          <w:rFonts w:ascii="Verdana" w:hAnsi="Verdana"/>
          <w:color w:val="000000" w:themeColor="text1"/>
          <w:sz w:val="20"/>
          <w:szCs w:val="20"/>
          <w:vertAlign w:val="superscript"/>
          <w:lang w:val="it-CH"/>
        </w:rPr>
        <w:t xml:space="preserve"> </w:t>
      </w:r>
      <w:r w:rsidRPr="00B90449">
        <w:rPr>
          <w:rFonts w:ascii="Verdana" w:hAnsi="Verdana"/>
          <w:sz w:val="20"/>
          <w:szCs w:val="20"/>
          <w:lang w:val="it-CH"/>
        </w:rPr>
        <w:t xml:space="preserve">Imfinzi en association avec GemCis est une nouvelle option de traitement par immunothérapie pour le </w:t>
      </w:r>
      <w:r w:rsidR="464072D4" w:rsidRPr="00B90449">
        <w:rPr>
          <w:rFonts w:ascii="Verdana" w:hAnsi="Verdana"/>
          <w:sz w:val="20"/>
          <w:szCs w:val="20"/>
          <w:lang w:val="it-CH"/>
        </w:rPr>
        <w:t>cancer des voies biliaires</w:t>
      </w:r>
      <w:r w:rsidRPr="00B90449">
        <w:rPr>
          <w:rFonts w:ascii="Verdana" w:hAnsi="Verdana"/>
          <w:sz w:val="20"/>
          <w:szCs w:val="20"/>
          <w:lang w:val="it-CH"/>
        </w:rPr>
        <w:t xml:space="preserve"> localement avancé/métastatique</w:t>
      </w:r>
      <w:r w:rsidR="00377B4E" w:rsidRPr="00B90449">
        <w:rPr>
          <w:rFonts w:ascii="Verdana" w:hAnsi="Verdana"/>
          <w:color w:val="000000" w:themeColor="text1"/>
          <w:sz w:val="20"/>
          <w:szCs w:val="20"/>
          <w:lang w:val="it-CH"/>
        </w:rPr>
        <w:t>.</w:t>
      </w:r>
    </w:p>
    <w:p w14:paraId="542840E2" w14:textId="77777777" w:rsidR="002E2026" w:rsidRPr="00B90449" w:rsidRDefault="002E2026" w:rsidP="001A06ED">
      <w:pPr>
        <w:jc w:val="both"/>
        <w:rPr>
          <w:rFonts w:ascii="Verdana" w:hAnsi="Verdana"/>
          <w:color w:val="000000"/>
          <w:sz w:val="20"/>
          <w:szCs w:val="20"/>
          <w:lang w:val="it-CH"/>
        </w:rPr>
      </w:pPr>
    </w:p>
    <w:p w14:paraId="29D43EEC" w14:textId="0957238F" w:rsidR="004E03DE" w:rsidRPr="00B90449" w:rsidRDefault="00BA7046" w:rsidP="004E03DE">
      <w:pPr>
        <w:jc w:val="both"/>
        <w:rPr>
          <w:rFonts w:ascii="Verdana" w:hAnsi="Verdana"/>
          <w:color w:val="000000"/>
          <w:sz w:val="20"/>
          <w:szCs w:val="20"/>
          <w:lang w:val="it-CH"/>
        </w:rPr>
      </w:pPr>
      <w:r w:rsidRPr="00B90449">
        <w:rPr>
          <w:rFonts w:ascii="Verdana" w:hAnsi="Verdana"/>
          <w:color w:val="000000" w:themeColor="text1"/>
          <w:sz w:val="20"/>
          <w:szCs w:val="20"/>
          <w:lang w:val="it-CH"/>
        </w:rPr>
        <w:t xml:space="preserve">TOPAZ-1 était la première étude multicentrique randomisée de phase III évaluant l'efficacité et l'innocuité d'Imfinzi en association avec GemCis par rapport à GemCis en  1L chez des patients </w:t>
      </w:r>
      <w:r w:rsidR="008C35DD">
        <w:rPr>
          <w:rFonts w:ascii="Verdana" w:hAnsi="Verdana"/>
          <w:color w:val="000000" w:themeColor="text1"/>
          <w:sz w:val="20"/>
          <w:szCs w:val="20"/>
          <w:lang w:val="it-CH"/>
        </w:rPr>
        <w:t xml:space="preserve">adultes </w:t>
      </w:r>
      <w:r w:rsidRPr="00B90449">
        <w:rPr>
          <w:rFonts w:ascii="Verdana" w:hAnsi="Verdana"/>
          <w:color w:val="000000" w:themeColor="text1"/>
          <w:sz w:val="20"/>
          <w:szCs w:val="20"/>
          <w:lang w:val="it-CH"/>
        </w:rPr>
        <w:t xml:space="preserve">atteints d'un </w:t>
      </w:r>
      <w:r w:rsidR="2592E56D" w:rsidRPr="00B90449">
        <w:rPr>
          <w:rFonts w:ascii="Verdana" w:hAnsi="Verdana"/>
          <w:color w:val="000000" w:themeColor="text1"/>
          <w:sz w:val="20"/>
          <w:szCs w:val="20"/>
          <w:lang w:val="it-CH"/>
        </w:rPr>
        <w:t>cancer des voies biliaires</w:t>
      </w:r>
      <w:r w:rsidRPr="00B90449">
        <w:rPr>
          <w:rFonts w:ascii="Verdana" w:hAnsi="Verdana"/>
          <w:color w:val="000000" w:themeColor="text1"/>
          <w:sz w:val="20"/>
          <w:szCs w:val="20"/>
          <w:lang w:val="it-CH"/>
        </w:rPr>
        <w:t xml:space="preserve"> localement avancé ou métastatique</w:t>
      </w:r>
      <w:r w:rsidR="004E03DE" w:rsidRPr="00B90449">
        <w:rPr>
          <w:rFonts w:ascii="Verdana" w:hAnsi="Verdana"/>
          <w:color w:val="000000" w:themeColor="text1"/>
          <w:sz w:val="20"/>
          <w:szCs w:val="20"/>
          <w:lang w:val="it-CH"/>
        </w:rPr>
        <w:t>.</w:t>
      </w:r>
      <w:r w:rsidR="004E03DE" w:rsidRPr="00B90449">
        <w:rPr>
          <w:rFonts w:ascii="Verdana" w:hAnsi="Verdana"/>
          <w:color w:val="000000" w:themeColor="text1"/>
          <w:sz w:val="20"/>
          <w:szCs w:val="20"/>
          <w:vertAlign w:val="superscript"/>
          <w:lang w:val="it-CH"/>
        </w:rPr>
        <w:t>2</w:t>
      </w:r>
      <w:r w:rsidR="004E03DE" w:rsidRPr="00B90449">
        <w:rPr>
          <w:rFonts w:ascii="Verdana" w:hAnsi="Verdana"/>
          <w:color w:val="000000" w:themeColor="text1"/>
          <w:sz w:val="20"/>
          <w:szCs w:val="20"/>
          <w:lang w:val="it-CH"/>
        </w:rPr>
        <w:t xml:space="preserve"> </w:t>
      </w:r>
    </w:p>
    <w:p w14:paraId="5204D34E" w14:textId="77777777" w:rsidR="004E03DE" w:rsidRPr="00B90449" w:rsidRDefault="004E03DE" w:rsidP="00A938D3">
      <w:pPr>
        <w:jc w:val="both"/>
        <w:rPr>
          <w:rFonts w:ascii="Verdana" w:hAnsi="Verdana"/>
          <w:color w:val="000000"/>
          <w:sz w:val="20"/>
          <w:szCs w:val="20"/>
          <w:lang w:val="it-CH"/>
        </w:rPr>
      </w:pPr>
    </w:p>
    <w:p w14:paraId="2C2382C3" w14:textId="45CE8452" w:rsidR="00A938D3" w:rsidRPr="00F0759E" w:rsidRDefault="00203B2A" w:rsidP="00203B2A">
      <w:pPr>
        <w:jc w:val="both"/>
        <w:rPr>
          <w:rFonts w:ascii="Verdana" w:hAnsi="Verdana"/>
          <w:color w:val="000000"/>
          <w:sz w:val="20"/>
          <w:szCs w:val="20"/>
          <w:lang w:val="it-CH"/>
        </w:rPr>
      </w:pPr>
      <w:bookmarkStart w:id="0" w:name="_Ref84844241"/>
      <w:bookmarkStart w:id="1" w:name="_Ref85611712"/>
      <w:bookmarkStart w:id="2" w:name="_Ref85652177"/>
      <w:r w:rsidRPr="6188EA84">
        <w:rPr>
          <w:rFonts w:ascii="Verdana" w:hAnsi="Verdana"/>
          <w:color w:val="000000" w:themeColor="text1"/>
          <w:sz w:val="20"/>
          <w:szCs w:val="20"/>
          <w:lang w:val="it-CH"/>
        </w:rPr>
        <w:t>L'étude TOPAZ-1 a atteint son critère principal de survie globale. Dans une analyse intermédiaire prédéfinie</w:t>
      </w:r>
      <w:r w:rsidR="008C35DD">
        <w:rPr>
          <w:rFonts w:ascii="Verdana" w:hAnsi="Verdana"/>
          <w:color w:val="000000" w:themeColor="text1"/>
          <w:sz w:val="20"/>
          <w:szCs w:val="20"/>
          <w:lang w:val="it-CH"/>
        </w:rPr>
        <w:t xml:space="preserve"> de</w:t>
      </w:r>
      <w:r w:rsidRPr="6188EA84">
        <w:rPr>
          <w:rFonts w:ascii="Verdana" w:hAnsi="Verdana"/>
          <w:color w:val="000000" w:themeColor="text1"/>
          <w:sz w:val="20"/>
          <w:szCs w:val="20"/>
          <w:lang w:val="it-CH"/>
        </w:rPr>
        <w:t xml:space="preserve"> TOPAZ-1</w:t>
      </w:r>
      <w:r w:rsidR="00122949">
        <w:rPr>
          <w:rFonts w:ascii="Verdana" w:hAnsi="Verdana"/>
          <w:color w:val="000000" w:themeColor="text1"/>
          <w:sz w:val="20"/>
          <w:szCs w:val="20"/>
          <w:lang w:val="it-CH"/>
        </w:rPr>
        <w:t>,</w:t>
      </w:r>
      <w:r w:rsidRPr="6188EA84">
        <w:rPr>
          <w:rFonts w:ascii="Verdana" w:hAnsi="Verdana"/>
          <w:color w:val="000000" w:themeColor="text1"/>
          <w:sz w:val="20"/>
          <w:szCs w:val="20"/>
          <w:lang w:val="it-CH"/>
        </w:rPr>
        <w:t xml:space="preserve"> Imfinzi en association avec GemCis a démontré un bénéfice de SG statistiquement et cliniquement significatif par rapport à GemCis en monothérapie en tant que traitement de première intention pour les patients atteints d</w:t>
      </w:r>
      <w:r w:rsidR="55B59C1F" w:rsidRPr="6188EA84">
        <w:rPr>
          <w:rFonts w:ascii="Verdana" w:hAnsi="Verdana"/>
          <w:color w:val="000000" w:themeColor="text1"/>
          <w:sz w:val="20"/>
          <w:szCs w:val="20"/>
          <w:lang w:val="it-CH"/>
        </w:rPr>
        <w:t>’un</w:t>
      </w:r>
      <w:r w:rsidRPr="6188EA84">
        <w:rPr>
          <w:rFonts w:ascii="Verdana" w:hAnsi="Verdana"/>
          <w:color w:val="000000" w:themeColor="text1"/>
          <w:sz w:val="20"/>
          <w:szCs w:val="20"/>
          <w:lang w:val="it-CH"/>
        </w:rPr>
        <w:t xml:space="preserve"> </w:t>
      </w:r>
      <w:r w:rsidR="47AB2879" w:rsidRPr="6188EA84">
        <w:rPr>
          <w:rFonts w:ascii="Verdana" w:hAnsi="Verdana"/>
          <w:color w:val="000000" w:themeColor="text1"/>
          <w:sz w:val="20"/>
          <w:szCs w:val="20"/>
          <w:lang w:val="it-CH"/>
        </w:rPr>
        <w:t>cancer des voies biliaires</w:t>
      </w:r>
      <w:r w:rsidRPr="6188EA84">
        <w:rPr>
          <w:rFonts w:ascii="Verdana" w:hAnsi="Verdana"/>
          <w:color w:val="000000" w:themeColor="text1"/>
          <w:sz w:val="20"/>
          <w:szCs w:val="20"/>
          <w:lang w:val="it-CH"/>
        </w:rPr>
        <w:t xml:space="preserve"> à un stade avancé [HR 0,80 (IC à 95 %, 0,66 -0,97 ; p=0,021)]</w:t>
      </w:r>
      <w:r w:rsidR="00A938D3" w:rsidRPr="6188EA84">
        <w:rPr>
          <w:rFonts w:ascii="Verdana" w:hAnsi="Verdana"/>
          <w:color w:val="000000" w:themeColor="text1"/>
          <w:sz w:val="20"/>
          <w:szCs w:val="20"/>
          <w:lang w:val="it-CH"/>
        </w:rPr>
        <w:t>.</w:t>
      </w:r>
      <w:bookmarkEnd w:id="0"/>
      <w:bookmarkEnd w:id="1"/>
      <w:bookmarkEnd w:id="2"/>
      <w:r w:rsidR="005C1BA8" w:rsidRPr="6188EA84">
        <w:rPr>
          <w:rFonts w:ascii="Verdana" w:hAnsi="Verdana"/>
          <w:color w:val="000000" w:themeColor="text1"/>
          <w:sz w:val="20"/>
          <w:szCs w:val="20"/>
          <w:vertAlign w:val="superscript"/>
          <w:lang w:val="it-CH"/>
        </w:rPr>
        <w:t>2</w:t>
      </w:r>
      <w:r w:rsidR="00A938D3" w:rsidRPr="6188EA84">
        <w:rPr>
          <w:rFonts w:ascii="Verdana" w:hAnsi="Verdana"/>
          <w:color w:val="000000" w:themeColor="text1"/>
          <w:sz w:val="20"/>
          <w:szCs w:val="20"/>
          <w:lang w:val="it-CH"/>
        </w:rPr>
        <w:t xml:space="preserve"> </w:t>
      </w:r>
      <w:r w:rsidRPr="6188EA84">
        <w:rPr>
          <w:rFonts w:ascii="Verdana" w:hAnsi="Verdana"/>
          <w:color w:val="000000" w:themeColor="text1"/>
          <w:sz w:val="20"/>
          <w:szCs w:val="20"/>
          <w:lang w:val="it-CH"/>
        </w:rPr>
        <w:t xml:space="preserve">La combinaison d'Imfinzi avec GemCis marque la première avancée thérapeutique mondiale majeure dans le traitement de première intention du </w:t>
      </w:r>
      <w:r w:rsidR="1A3CE593" w:rsidRPr="6188EA84">
        <w:rPr>
          <w:rFonts w:ascii="Verdana" w:hAnsi="Verdana"/>
          <w:color w:val="000000" w:themeColor="text1"/>
          <w:sz w:val="20"/>
          <w:szCs w:val="20"/>
          <w:lang w:val="it-CH"/>
        </w:rPr>
        <w:t>cancer des voies biliaires</w:t>
      </w:r>
      <w:r w:rsidRPr="6188EA84">
        <w:rPr>
          <w:rFonts w:ascii="Verdana" w:hAnsi="Verdana"/>
          <w:color w:val="000000" w:themeColor="text1"/>
          <w:sz w:val="20"/>
          <w:szCs w:val="20"/>
          <w:lang w:val="it-CH"/>
        </w:rPr>
        <w:t xml:space="preserve"> à un stade avancé depuis plus d'une décennie</w:t>
      </w:r>
      <w:r w:rsidR="00A938D3" w:rsidRPr="6188EA84">
        <w:rPr>
          <w:rFonts w:ascii="Verdana" w:hAnsi="Verdana"/>
          <w:color w:val="000000" w:themeColor="text1"/>
          <w:sz w:val="20"/>
          <w:szCs w:val="20"/>
          <w:lang w:val="it-CH"/>
        </w:rPr>
        <w:t>.</w:t>
      </w:r>
      <w:r w:rsidR="005C1BA8" w:rsidRPr="6188EA84">
        <w:rPr>
          <w:rFonts w:ascii="Verdana" w:hAnsi="Verdana"/>
          <w:color w:val="000000" w:themeColor="text1"/>
          <w:sz w:val="20"/>
          <w:szCs w:val="20"/>
          <w:vertAlign w:val="superscript"/>
          <w:lang w:val="it-CH"/>
        </w:rPr>
        <w:t>2</w:t>
      </w:r>
      <w:r w:rsidR="00A938D3" w:rsidRPr="6188EA84">
        <w:rPr>
          <w:rFonts w:ascii="Verdana" w:hAnsi="Verdana"/>
          <w:color w:val="000000" w:themeColor="text1"/>
          <w:sz w:val="20"/>
          <w:szCs w:val="20"/>
          <w:lang w:val="it-CH"/>
        </w:rPr>
        <w:t xml:space="preserve"> </w:t>
      </w:r>
    </w:p>
    <w:p w14:paraId="14D40270" w14:textId="2D9B0226" w:rsidR="00A938D3" w:rsidRPr="00F0759E" w:rsidRDefault="007509D2" w:rsidP="00A938D3">
      <w:pPr>
        <w:numPr>
          <w:ilvl w:val="1"/>
          <w:numId w:val="1"/>
        </w:numPr>
        <w:jc w:val="both"/>
        <w:rPr>
          <w:rFonts w:ascii="Verdana" w:hAnsi="Verdana"/>
          <w:color w:val="000000"/>
          <w:sz w:val="20"/>
          <w:szCs w:val="20"/>
          <w:lang w:val="it-CH"/>
        </w:rPr>
      </w:pPr>
      <w:r w:rsidRPr="007509D2">
        <w:rPr>
          <w:rFonts w:ascii="Verdana" w:hAnsi="Verdana"/>
          <w:color w:val="000000"/>
          <w:sz w:val="20"/>
          <w:szCs w:val="20"/>
          <w:lang w:val="it-CH"/>
        </w:rPr>
        <w:t>Le taux de survie à 24 mois était de 24,9 % (IC à 95 %, 17,9 à 32,5) pour le groupe Imfinzi + GemCis et de 10,4 % (IC à 95 %, 4,7 à 18,8) pour GemCis</w:t>
      </w:r>
      <w:r w:rsidR="00A938D3" w:rsidRPr="00F0759E">
        <w:rPr>
          <w:rFonts w:ascii="Verdana" w:hAnsi="Verdana"/>
          <w:color w:val="000000"/>
          <w:sz w:val="20"/>
          <w:szCs w:val="20"/>
          <w:lang w:val="it-CH"/>
        </w:rPr>
        <w:t>.</w:t>
      </w:r>
      <w:r w:rsidR="00CF47AE" w:rsidRPr="00F0759E">
        <w:rPr>
          <w:rFonts w:ascii="Verdana" w:hAnsi="Verdana"/>
          <w:color w:val="000000"/>
          <w:sz w:val="20"/>
          <w:szCs w:val="20"/>
          <w:vertAlign w:val="superscript"/>
          <w:lang w:val="it-CH"/>
        </w:rPr>
        <w:t>2</w:t>
      </w:r>
      <w:r w:rsidR="00A938D3" w:rsidRPr="00F0759E">
        <w:rPr>
          <w:rFonts w:ascii="Verdana" w:hAnsi="Verdana"/>
          <w:color w:val="000000"/>
          <w:sz w:val="20"/>
          <w:szCs w:val="20"/>
          <w:lang w:val="it-CH"/>
        </w:rPr>
        <w:t xml:space="preserve"> </w:t>
      </w:r>
    </w:p>
    <w:p w14:paraId="246E40CE" w14:textId="09F99DCC" w:rsidR="00A938D3" w:rsidRPr="00F0759E" w:rsidRDefault="007509D2" w:rsidP="00A938D3">
      <w:pPr>
        <w:numPr>
          <w:ilvl w:val="1"/>
          <w:numId w:val="1"/>
        </w:numPr>
        <w:jc w:val="both"/>
        <w:rPr>
          <w:rFonts w:ascii="Verdana" w:hAnsi="Verdana"/>
          <w:color w:val="000000"/>
          <w:sz w:val="20"/>
          <w:szCs w:val="20"/>
          <w:lang w:val="it-CH"/>
        </w:rPr>
      </w:pPr>
      <w:r w:rsidRPr="007509D2">
        <w:rPr>
          <w:rFonts w:ascii="Verdana" w:hAnsi="Verdana"/>
          <w:color w:val="000000"/>
          <w:sz w:val="20"/>
          <w:szCs w:val="20"/>
          <w:lang w:val="it-CH"/>
        </w:rPr>
        <w:t>L'association a également démontré une amélioration de la survie sans progression (</w:t>
      </w:r>
      <w:r w:rsidR="00962378">
        <w:rPr>
          <w:rFonts w:ascii="Verdana" w:hAnsi="Verdana"/>
          <w:color w:val="000000"/>
          <w:sz w:val="20"/>
          <w:szCs w:val="20"/>
          <w:lang w:val="it-CH"/>
        </w:rPr>
        <w:t>SSP</w:t>
      </w:r>
      <w:r w:rsidRPr="007509D2">
        <w:rPr>
          <w:rFonts w:ascii="Verdana" w:hAnsi="Verdana"/>
          <w:color w:val="000000"/>
          <w:sz w:val="20"/>
          <w:szCs w:val="20"/>
          <w:lang w:val="it-CH"/>
        </w:rPr>
        <w:t>) et du taux de réponse objective (ORR), critères secondaires clés de l'étude</w:t>
      </w:r>
      <w:r w:rsidR="00A938D3" w:rsidRPr="00F0759E">
        <w:rPr>
          <w:rFonts w:ascii="Verdana" w:hAnsi="Verdana"/>
          <w:color w:val="000000"/>
          <w:sz w:val="20"/>
          <w:szCs w:val="20"/>
          <w:lang w:val="it-CH"/>
        </w:rPr>
        <w:t>.</w:t>
      </w:r>
      <w:r w:rsidR="00264639" w:rsidRPr="00F0759E">
        <w:rPr>
          <w:rFonts w:ascii="Verdana" w:hAnsi="Verdana"/>
          <w:color w:val="000000"/>
          <w:sz w:val="20"/>
          <w:szCs w:val="20"/>
          <w:vertAlign w:val="superscript"/>
          <w:lang w:val="it-CH"/>
        </w:rPr>
        <w:t>2</w:t>
      </w:r>
      <w:r w:rsidR="00A938D3" w:rsidRPr="00F0759E">
        <w:rPr>
          <w:rFonts w:ascii="Verdana" w:hAnsi="Verdana"/>
          <w:color w:val="000000"/>
          <w:sz w:val="20"/>
          <w:szCs w:val="20"/>
          <w:lang w:val="it-CH"/>
        </w:rPr>
        <w:t xml:space="preserve"> </w:t>
      </w:r>
    </w:p>
    <w:p w14:paraId="34B8E891" w14:textId="1ADA3158" w:rsidR="00A938D3" w:rsidRPr="00F0759E" w:rsidRDefault="00962378" w:rsidP="00EA6D32">
      <w:pPr>
        <w:numPr>
          <w:ilvl w:val="2"/>
          <w:numId w:val="1"/>
        </w:numPr>
        <w:jc w:val="both"/>
        <w:rPr>
          <w:rFonts w:ascii="Verdana" w:hAnsi="Verdana"/>
          <w:color w:val="000000"/>
          <w:sz w:val="20"/>
          <w:szCs w:val="20"/>
          <w:lang w:val="it-CH"/>
        </w:rPr>
      </w:pPr>
      <w:r w:rsidRPr="00962378">
        <w:rPr>
          <w:rFonts w:ascii="Verdana" w:hAnsi="Verdana"/>
          <w:color w:val="000000"/>
          <w:sz w:val="20"/>
          <w:szCs w:val="20"/>
          <w:lang w:val="it-CH"/>
        </w:rPr>
        <w:t xml:space="preserve">La </w:t>
      </w:r>
      <w:r>
        <w:rPr>
          <w:rFonts w:ascii="Verdana" w:hAnsi="Verdana"/>
          <w:color w:val="000000"/>
          <w:sz w:val="20"/>
          <w:szCs w:val="20"/>
          <w:lang w:val="it-CH"/>
        </w:rPr>
        <w:t>SSP</w:t>
      </w:r>
      <w:r w:rsidRPr="00962378">
        <w:rPr>
          <w:rFonts w:ascii="Verdana" w:hAnsi="Verdana"/>
          <w:color w:val="000000"/>
          <w:sz w:val="20"/>
          <w:szCs w:val="20"/>
          <w:lang w:val="it-CH"/>
        </w:rPr>
        <w:t xml:space="preserve"> médiane était de 7,2 (IC à 95 %, 6,7 à 7,4) mois pour le groupe Imfinzi + GemCis et de 5,7 (IC à 95 %, 5,6 à 6,7) mois pour le groupe GemCis [HR 0,75 (IC à 95 %, 0,63 à 0,89 ; p =0,001)]</w:t>
      </w:r>
      <w:r w:rsidR="00A938D3" w:rsidRPr="00F0759E">
        <w:rPr>
          <w:rFonts w:ascii="Verdana" w:hAnsi="Verdana"/>
          <w:color w:val="000000"/>
          <w:sz w:val="20"/>
          <w:szCs w:val="20"/>
          <w:lang w:val="it-CH"/>
        </w:rPr>
        <w:t>.</w:t>
      </w:r>
      <w:r w:rsidR="00264639" w:rsidRPr="00F0759E">
        <w:rPr>
          <w:rFonts w:ascii="Verdana" w:hAnsi="Verdana"/>
          <w:color w:val="000000"/>
          <w:sz w:val="20"/>
          <w:szCs w:val="20"/>
          <w:vertAlign w:val="superscript"/>
          <w:lang w:val="it-CH"/>
        </w:rPr>
        <w:t>2</w:t>
      </w:r>
      <w:r w:rsidR="00A938D3" w:rsidRPr="00F0759E">
        <w:rPr>
          <w:rFonts w:ascii="Verdana" w:hAnsi="Verdana"/>
          <w:color w:val="000000"/>
          <w:sz w:val="20"/>
          <w:szCs w:val="20"/>
          <w:lang w:val="it-CH"/>
        </w:rPr>
        <w:t xml:space="preserve"> </w:t>
      </w:r>
    </w:p>
    <w:p w14:paraId="34BED253" w14:textId="47BFDF5D" w:rsidR="00A938D3" w:rsidRPr="00F0759E" w:rsidRDefault="000407D8" w:rsidP="00EA6D32">
      <w:pPr>
        <w:numPr>
          <w:ilvl w:val="2"/>
          <w:numId w:val="1"/>
        </w:numPr>
        <w:jc w:val="both"/>
        <w:rPr>
          <w:rFonts w:ascii="Verdana" w:hAnsi="Verdana"/>
          <w:color w:val="000000"/>
          <w:sz w:val="20"/>
          <w:szCs w:val="20"/>
          <w:lang w:val="it-CH"/>
        </w:rPr>
      </w:pPr>
      <w:r w:rsidRPr="000407D8">
        <w:rPr>
          <w:rFonts w:ascii="Verdana" w:hAnsi="Verdana"/>
          <w:color w:val="000000"/>
          <w:sz w:val="20"/>
          <w:szCs w:val="20"/>
          <w:lang w:val="it-CH"/>
        </w:rPr>
        <w:lastRenderedPageBreak/>
        <w:t>L'ORR était de 26,7 % pour le groupe Imfinzi + GemCis et de 18,7 % pour GemCis</w:t>
      </w:r>
      <w:r w:rsidR="00A938D3" w:rsidRPr="00F0759E">
        <w:rPr>
          <w:rFonts w:ascii="Verdana" w:hAnsi="Verdana"/>
          <w:color w:val="000000"/>
          <w:sz w:val="20"/>
          <w:szCs w:val="20"/>
          <w:lang w:val="it-CH"/>
        </w:rPr>
        <w:t>.</w:t>
      </w:r>
      <w:r w:rsidR="00D23617" w:rsidRPr="00A753BF">
        <w:rPr>
          <w:rFonts w:ascii="Verdana" w:hAnsi="Verdana"/>
          <w:color w:val="000000"/>
          <w:sz w:val="20"/>
          <w:szCs w:val="20"/>
          <w:vertAlign w:val="superscript"/>
          <w:lang w:val="it-CH"/>
        </w:rPr>
        <w:t>2</w:t>
      </w:r>
      <w:r w:rsidR="00A938D3" w:rsidRPr="00F0759E">
        <w:rPr>
          <w:rFonts w:ascii="Verdana" w:hAnsi="Verdana"/>
          <w:color w:val="000000"/>
          <w:sz w:val="20"/>
          <w:szCs w:val="20"/>
          <w:lang w:val="it-CH"/>
        </w:rPr>
        <w:t xml:space="preserve"> </w:t>
      </w:r>
    </w:p>
    <w:p w14:paraId="3BC86130" w14:textId="77777777" w:rsidR="005E2C7C" w:rsidRPr="004C588F" w:rsidRDefault="005E2C7C" w:rsidP="00F443C4">
      <w:pPr>
        <w:jc w:val="both"/>
        <w:rPr>
          <w:rFonts w:ascii="Verdana" w:hAnsi="Verdana"/>
          <w:color w:val="000000"/>
          <w:lang w:val="it-CH"/>
        </w:rPr>
      </w:pPr>
    </w:p>
    <w:p w14:paraId="589AA7AD" w14:textId="547B0D73" w:rsidR="00F443C4" w:rsidRPr="00F0759E" w:rsidRDefault="000407D8" w:rsidP="00F443C4">
      <w:pPr>
        <w:jc w:val="both"/>
        <w:rPr>
          <w:rFonts w:ascii="Verdana" w:hAnsi="Verdana"/>
          <w:color w:val="000000"/>
          <w:sz w:val="20"/>
          <w:szCs w:val="20"/>
          <w:lang w:val="it-CH"/>
        </w:rPr>
      </w:pPr>
      <w:r w:rsidRPr="6188EA84">
        <w:rPr>
          <w:rFonts w:ascii="Verdana" w:hAnsi="Verdana"/>
          <w:color w:val="000000" w:themeColor="text1"/>
          <w:sz w:val="20"/>
          <w:szCs w:val="20"/>
          <w:lang w:val="it-CH"/>
        </w:rPr>
        <w:t xml:space="preserve">Une analyse actualisée de la survie globale (figure 1) après un suivi supplémentaire de 6,5 mois (maturité globale 76,9 %) a été présentée au </w:t>
      </w:r>
      <w:r w:rsidR="0A00683C" w:rsidRPr="6188EA84">
        <w:rPr>
          <w:rFonts w:ascii="Verdana" w:hAnsi="Verdana"/>
          <w:color w:val="000000" w:themeColor="text1"/>
          <w:sz w:val="20"/>
          <w:szCs w:val="20"/>
          <w:lang w:val="it-CH"/>
        </w:rPr>
        <w:t>c</w:t>
      </w:r>
      <w:r w:rsidRPr="6188EA84">
        <w:rPr>
          <w:rFonts w:ascii="Verdana" w:hAnsi="Verdana"/>
          <w:color w:val="000000" w:themeColor="text1"/>
          <w:sz w:val="20"/>
          <w:szCs w:val="20"/>
          <w:lang w:val="it-CH"/>
        </w:rPr>
        <w:t>ongrès</w:t>
      </w:r>
      <w:r w:rsidR="0E1536FE" w:rsidRPr="6188EA84">
        <w:rPr>
          <w:rFonts w:ascii="Verdana" w:hAnsi="Verdana"/>
          <w:color w:val="000000" w:themeColor="text1"/>
          <w:sz w:val="20"/>
          <w:szCs w:val="20"/>
          <w:lang w:val="it-CH"/>
        </w:rPr>
        <w:t xml:space="preserve"> de</w:t>
      </w:r>
      <w:r w:rsidRPr="6188EA84">
        <w:rPr>
          <w:rFonts w:ascii="Verdana" w:hAnsi="Verdana"/>
          <w:color w:val="000000" w:themeColor="text1"/>
          <w:sz w:val="20"/>
          <w:szCs w:val="20"/>
          <w:lang w:val="it-CH"/>
        </w:rPr>
        <w:t xml:space="preserve"> </w:t>
      </w:r>
      <w:r w:rsidR="449B96DC" w:rsidRPr="6188EA84">
        <w:rPr>
          <w:rFonts w:ascii="Verdana" w:hAnsi="Verdana"/>
          <w:color w:val="000000" w:themeColor="text1"/>
          <w:sz w:val="20"/>
          <w:szCs w:val="20"/>
          <w:lang w:val="it-CH"/>
        </w:rPr>
        <w:t>l’</w:t>
      </w:r>
      <w:r w:rsidRPr="6188EA84">
        <w:rPr>
          <w:rFonts w:ascii="Verdana" w:hAnsi="Verdana"/>
          <w:color w:val="000000" w:themeColor="text1"/>
          <w:sz w:val="20"/>
          <w:szCs w:val="20"/>
          <w:lang w:val="it-CH"/>
        </w:rPr>
        <w:t>ESMO 2022</w:t>
      </w:r>
      <w:r w:rsidR="00F443C4" w:rsidRPr="6188EA84">
        <w:rPr>
          <w:rFonts w:ascii="Verdana" w:hAnsi="Verdana"/>
          <w:color w:val="000000" w:themeColor="text1"/>
          <w:sz w:val="20"/>
          <w:szCs w:val="20"/>
          <w:lang w:val="it-CH"/>
        </w:rPr>
        <w:t>.</w:t>
      </w:r>
      <w:r w:rsidR="002C6AC2" w:rsidRPr="6188EA84">
        <w:rPr>
          <w:rFonts w:ascii="Verdana" w:hAnsi="Verdana"/>
          <w:color w:val="000000" w:themeColor="text1"/>
          <w:sz w:val="20"/>
          <w:szCs w:val="20"/>
          <w:vertAlign w:val="superscript"/>
          <w:lang w:val="it-CH"/>
        </w:rPr>
        <w:t>3</w:t>
      </w:r>
      <w:r w:rsidR="000F541A" w:rsidRPr="6188EA84">
        <w:rPr>
          <w:rFonts w:ascii="Verdana" w:hAnsi="Verdana"/>
          <w:color w:val="000000" w:themeColor="text1"/>
          <w:sz w:val="20"/>
          <w:szCs w:val="20"/>
          <w:lang w:val="it-CH"/>
        </w:rPr>
        <w:t xml:space="preserve"> </w:t>
      </w:r>
    </w:p>
    <w:p w14:paraId="6ADAE6BF" w14:textId="2347DACF" w:rsidR="00382EFD" w:rsidRPr="0037629E" w:rsidRDefault="0037629E" w:rsidP="00BC6F98">
      <w:pPr>
        <w:pStyle w:val="ListParagraph"/>
        <w:numPr>
          <w:ilvl w:val="0"/>
          <w:numId w:val="4"/>
        </w:numPr>
        <w:tabs>
          <w:tab w:val="clear" w:pos="1789"/>
        </w:tabs>
        <w:ind w:left="1134" w:hanging="425"/>
        <w:jc w:val="both"/>
        <w:rPr>
          <w:rFonts w:ascii="Verdana" w:hAnsi="Verdana"/>
          <w:color w:val="000000"/>
          <w:sz w:val="20"/>
          <w:szCs w:val="20"/>
          <w:lang w:val="de-DE"/>
        </w:rPr>
      </w:pPr>
      <w:r w:rsidRPr="0037629E">
        <w:rPr>
          <w:rFonts w:ascii="Verdana" w:hAnsi="Verdana"/>
          <w:color w:val="000000"/>
          <w:sz w:val="20"/>
          <w:szCs w:val="20"/>
          <w:lang w:val="it-CH"/>
        </w:rPr>
        <w:t xml:space="preserve">Le bénéfice de la SG avec l'ajout d'Imfinzi à GemCis s'est amélioré numériquement par rapport à l'analyse intermédiaire [HR 0,76 (IC à 95 %, 0,64 à 0,91)]. </w:t>
      </w:r>
      <w:r w:rsidRPr="0037629E">
        <w:rPr>
          <w:rFonts w:ascii="Verdana" w:hAnsi="Verdana"/>
          <w:color w:val="000000"/>
          <w:sz w:val="20"/>
          <w:szCs w:val="20"/>
          <w:lang w:val="de-DE"/>
        </w:rPr>
        <w:t>Les patients du groupe Imfinzi + GemCis avaient une réduction de 24 % du risque de décès</w:t>
      </w:r>
      <w:r>
        <w:rPr>
          <w:rFonts w:ascii="Verdana" w:hAnsi="Verdana"/>
          <w:color w:val="000000"/>
          <w:sz w:val="20"/>
          <w:szCs w:val="20"/>
          <w:lang w:val="de-DE"/>
        </w:rPr>
        <w:t>.</w:t>
      </w:r>
      <w:r w:rsidR="002C6AC2" w:rsidRPr="0037629E">
        <w:rPr>
          <w:rFonts w:ascii="Verdana" w:hAnsi="Verdana"/>
          <w:color w:val="000000"/>
          <w:sz w:val="20"/>
          <w:szCs w:val="20"/>
          <w:vertAlign w:val="superscript"/>
          <w:lang w:val="de-DE"/>
        </w:rPr>
        <w:t>3</w:t>
      </w:r>
    </w:p>
    <w:p w14:paraId="1EEE2538" w14:textId="047EB292" w:rsidR="00E839B0" w:rsidRPr="0037629E" w:rsidRDefault="0037629E">
      <w:pPr>
        <w:pStyle w:val="ListParagraph"/>
        <w:numPr>
          <w:ilvl w:val="0"/>
          <w:numId w:val="4"/>
        </w:numPr>
        <w:tabs>
          <w:tab w:val="clear" w:pos="1789"/>
        </w:tabs>
        <w:ind w:left="1134" w:hanging="425"/>
        <w:jc w:val="both"/>
        <w:rPr>
          <w:rFonts w:ascii="Verdana" w:hAnsi="Verdana"/>
          <w:color w:val="000000"/>
          <w:sz w:val="20"/>
          <w:szCs w:val="20"/>
          <w:lang w:val="de-DE"/>
        </w:rPr>
      </w:pPr>
      <w:r w:rsidRPr="0037629E">
        <w:rPr>
          <w:rFonts w:ascii="Verdana" w:hAnsi="Verdana"/>
          <w:color w:val="000000"/>
          <w:sz w:val="20"/>
          <w:szCs w:val="20"/>
          <w:lang w:val="de-DE"/>
        </w:rPr>
        <w:t>Le taux de survie à deux ans (IC à 95 %) était de 23,6 % (18,7–28,9) dans le groupe Imfinzi + GemCis et de 11,5 % (7,6–16,2) dans le groupe GemCis</w:t>
      </w:r>
      <w:r w:rsidR="00F443C4" w:rsidRPr="0037629E">
        <w:rPr>
          <w:rFonts w:ascii="Verdana" w:hAnsi="Verdana"/>
          <w:color w:val="000000"/>
          <w:sz w:val="20"/>
          <w:szCs w:val="20"/>
          <w:lang w:val="de-DE"/>
        </w:rPr>
        <w:t>.</w:t>
      </w:r>
      <w:r w:rsidR="002C6AC2" w:rsidRPr="0037629E">
        <w:rPr>
          <w:rFonts w:ascii="Verdana" w:hAnsi="Verdana"/>
          <w:color w:val="000000"/>
          <w:sz w:val="20"/>
          <w:szCs w:val="20"/>
          <w:vertAlign w:val="superscript"/>
          <w:lang w:val="de-DE"/>
        </w:rPr>
        <w:t>3</w:t>
      </w:r>
      <w:r w:rsidR="00E839B0" w:rsidRPr="0037629E">
        <w:rPr>
          <w:rFonts w:ascii="Verdana" w:hAnsi="Verdana"/>
          <w:color w:val="FF0000"/>
          <w:sz w:val="20"/>
          <w:szCs w:val="20"/>
          <w:lang w:val="de-DE"/>
        </w:rPr>
        <w:t xml:space="preserve"> </w:t>
      </w:r>
    </w:p>
    <w:p w14:paraId="38A2A9DC" w14:textId="77777777" w:rsidR="00DF7A2E" w:rsidRPr="0037629E" w:rsidRDefault="00DF7A2E" w:rsidP="00E839B0">
      <w:pPr>
        <w:jc w:val="both"/>
        <w:rPr>
          <w:noProof/>
          <w:color w:val="000000"/>
          <w:lang w:val="de-DE"/>
        </w:rPr>
      </w:pPr>
    </w:p>
    <w:p w14:paraId="7C9BB91A" w14:textId="724CFF45" w:rsidR="00DF7A2E" w:rsidRDefault="00A753BF" w:rsidP="00E27E45">
      <w:pPr>
        <w:jc w:val="center"/>
        <w:rPr>
          <w:color w:val="000000"/>
          <w:lang w:val="en-US"/>
        </w:rPr>
      </w:pPr>
      <w:r>
        <w:rPr>
          <w:noProof/>
          <w:color w:val="000000"/>
          <w:lang w:val="en-US"/>
        </w:rPr>
        <w:drawing>
          <wp:inline distT="0" distB="0" distL="0" distR="0" wp14:anchorId="77CB8CD7" wp14:editId="18C9018B">
            <wp:extent cx="5645150" cy="2871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0" cy="2871470"/>
                    </a:xfrm>
                    <a:prstGeom prst="rect">
                      <a:avLst/>
                    </a:prstGeom>
                    <a:noFill/>
                  </pic:spPr>
                </pic:pic>
              </a:graphicData>
            </a:graphic>
          </wp:inline>
        </w:drawing>
      </w:r>
    </w:p>
    <w:p w14:paraId="4462C39B" w14:textId="3743B888" w:rsidR="00DF7A2E" w:rsidRPr="00DB5651" w:rsidRDefault="00E24B29" w:rsidP="00E27E45">
      <w:pPr>
        <w:jc w:val="center"/>
        <w:rPr>
          <w:rFonts w:ascii="Verdana" w:hAnsi="Verdana"/>
          <w:color w:val="000000"/>
          <w:sz w:val="18"/>
          <w:szCs w:val="18"/>
          <w:lang w:val="en-US"/>
        </w:rPr>
      </w:pPr>
      <w:r w:rsidRPr="00DB5651">
        <w:rPr>
          <w:rFonts w:ascii="Verdana" w:hAnsi="Verdana"/>
          <w:color w:val="000000"/>
          <w:sz w:val="16"/>
          <w:szCs w:val="16"/>
          <w:lang w:val="en-US"/>
        </w:rPr>
        <w:t>Figure 1 : Courbe de Kaplan-Meier de la survie globale</w:t>
      </w:r>
      <w:r w:rsidR="00740E42" w:rsidRPr="00DB5651">
        <w:rPr>
          <w:rFonts w:ascii="Verdana" w:hAnsi="Verdana"/>
          <w:color w:val="000000"/>
          <w:sz w:val="16"/>
          <w:szCs w:val="16"/>
          <w:vertAlign w:val="superscript"/>
          <w:lang w:val="en-US"/>
        </w:rPr>
        <w:t>3</w:t>
      </w:r>
    </w:p>
    <w:p w14:paraId="4E05A69B" w14:textId="77777777" w:rsidR="001E5198" w:rsidRPr="00DB5651" w:rsidRDefault="001E5198" w:rsidP="00E839B0">
      <w:pPr>
        <w:jc w:val="both"/>
        <w:rPr>
          <w:rFonts w:ascii="Verdana" w:hAnsi="Verdana"/>
          <w:color w:val="000000"/>
          <w:lang w:val="en-US"/>
        </w:rPr>
      </w:pPr>
    </w:p>
    <w:p w14:paraId="41FB0617" w14:textId="7335FE65" w:rsidR="000F40BB" w:rsidRPr="00DB5651" w:rsidRDefault="00DB5651" w:rsidP="00E839B0">
      <w:pPr>
        <w:jc w:val="both"/>
        <w:rPr>
          <w:rFonts w:ascii="Verdana" w:hAnsi="Verdana"/>
          <w:color w:val="000000"/>
          <w:sz w:val="20"/>
          <w:szCs w:val="20"/>
          <w:lang w:val="en-US"/>
        </w:rPr>
      </w:pPr>
      <w:r w:rsidRPr="00DB5651">
        <w:rPr>
          <w:rFonts w:ascii="Verdana" w:hAnsi="Verdana"/>
          <w:color w:val="000000"/>
          <w:sz w:val="20"/>
          <w:szCs w:val="20"/>
          <w:lang w:val="en-US"/>
        </w:rPr>
        <w:t>La progression de la SG s'est améliorée de manière constante en faveur du groupe Imfinzi + GemCis avec une différence de taux de SG de 12,1 % après 24 mois (7,2 % après 12 mois et 10,7 % après 18 mois). Plus du double des patients traités par Imfinzi + GemCis étaient encore en vie après 24 mois de traitement</w:t>
      </w:r>
      <w:r w:rsidR="00FD2F76" w:rsidRPr="00DB5651">
        <w:rPr>
          <w:rFonts w:ascii="Verdana" w:hAnsi="Verdana"/>
          <w:color w:val="000000"/>
          <w:sz w:val="20"/>
          <w:szCs w:val="20"/>
          <w:lang w:val="en-US"/>
        </w:rPr>
        <w:t>.</w:t>
      </w:r>
      <w:r w:rsidR="002C6AC2" w:rsidRPr="00DB5651">
        <w:rPr>
          <w:rFonts w:ascii="Verdana" w:hAnsi="Verdana"/>
          <w:color w:val="000000"/>
          <w:sz w:val="20"/>
          <w:szCs w:val="20"/>
          <w:vertAlign w:val="superscript"/>
          <w:lang w:val="en-US"/>
        </w:rPr>
        <w:t>3</w:t>
      </w:r>
      <w:r w:rsidR="00FC2CC2" w:rsidRPr="00DB5651">
        <w:rPr>
          <w:rFonts w:ascii="Verdana" w:hAnsi="Verdana"/>
          <w:color w:val="FF0000"/>
          <w:sz w:val="20"/>
          <w:szCs w:val="20"/>
          <w:lang w:val="en-US"/>
        </w:rPr>
        <w:t xml:space="preserve"> </w:t>
      </w:r>
    </w:p>
    <w:p w14:paraId="77AAF7E0" w14:textId="77777777" w:rsidR="000F40BB" w:rsidRPr="00DB5651" w:rsidRDefault="000F40BB" w:rsidP="00E839B0">
      <w:pPr>
        <w:jc w:val="both"/>
        <w:rPr>
          <w:rFonts w:ascii="Verdana" w:hAnsi="Verdana"/>
          <w:color w:val="000000"/>
          <w:sz w:val="20"/>
          <w:szCs w:val="20"/>
          <w:lang w:val="en-US"/>
        </w:rPr>
      </w:pPr>
    </w:p>
    <w:p w14:paraId="68C02737" w14:textId="01D362C2" w:rsidR="00756D0E" w:rsidRPr="00DB5651" w:rsidRDefault="00DB5651" w:rsidP="000F6007">
      <w:pPr>
        <w:jc w:val="both"/>
        <w:rPr>
          <w:rFonts w:ascii="Verdana" w:hAnsi="Verdana"/>
          <w:color w:val="000000"/>
          <w:sz w:val="20"/>
          <w:szCs w:val="20"/>
          <w:lang w:val="en-US"/>
        </w:rPr>
      </w:pPr>
      <w:r w:rsidRPr="00DB5651">
        <w:rPr>
          <w:rFonts w:ascii="Verdana" w:hAnsi="Verdana"/>
          <w:color w:val="000000"/>
          <w:sz w:val="20"/>
          <w:szCs w:val="20"/>
          <w:lang w:val="en-US"/>
        </w:rPr>
        <w:t>Le profil de sécurité et de tolérabilité d'Imfinzi + GemCis était cohérent avec les profils connus de ces médicaments, et Imfinzi n'a pas ajouté de toxicité supplémentaire à celle observée avec la chimiothérapie</w:t>
      </w:r>
      <w:r w:rsidR="00756D0E" w:rsidRPr="00DB5651">
        <w:rPr>
          <w:rFonts w:ascii="Verdana" w:hAnsi="Verdana"/>
          <w:color w:val="000000"/>
          <w:sz w:val="20"/>
          <w:szCs w:val="20"/>
          <w:lang w:val="en-US"/>
        </w:rPr>
        <w:t>.</w:t>
      </w:r>
      <w:r w:rsidR="002C6AC2" w:rsidRPr="00DB5651">
        <w:rPr>
          <w:rFonts w:ascii="Verdana" w:hAnsi="Verdana"/>
          <w:color w:val="000000"/>
          <w:sz w:val="20"/>
          <w:szCs w:val="20"/>
          <w:vertAlign w:val="superscript"/>
          <w:lang w:val="en-US"/>
        </w:rPr>
        <w:t>3</w:t>
      </w:r>
      <w:r w:rsidR="00756D0E" w:rsidRPr="00DB5651">
        <w:rPr>
          <w:rFonts w:ascii="Verdana" w:hAnsi="Verdana"/>
          <w:color w:val="000000"/>
          <w:sz w:val="20"/>
          <w:szCs w:val="20"/>
          <w:lang w:val="en-US"/>
        </w:rPr>
        <w:t xml:space="preserve"> </w:t>
      </w:r>
    </w:p>
    <w:p w14:paraId="560F19C5" w14:textId="413EBDD7" w:rsidR="00756D0E" w:rsidRPr="00D53444" w:rsidRDefault="00D53444" w:rsidP="00756D0E">
      <w:pPr>
        <w:jc w:val="both"/>
        <w:rPr>
          <w:rFonts w:ascii="Verdana" w:hAnsi="Verdana"/>
          <w:color w:val="000000"/>
          <w:sz w:val="20"/>
          <w:szCs w:val="20"/>
          <w:lang w:val="en-US"/>
        </w:rPr>
      </w:pPr>
      <w:r w:rsidRPr="6188EA84">
        <w:rPr>
          <w:rFonts w:ascii="Verdana" w:hAnsi="Verdana"/>
          <w:color w:val="000000" w:themeColor="text1"/>
          <w:sz w:val="20"/>
          <w:szCs w:val="20"/>
          <w:lang w:val="en-US"/>
        </w:rPr>
        <w:t>L'incidence des événements indésirables liés au traitement de grade 3/4 était de 62,7 % dans le groupe Imfinzi + GemCis et de 64,9 % dans le groupe GemCis</w:t>
      </w:r>
      <w:r w:rsidR="000F6007" w:rsidRPr="6188EA84">
        <w:rPr>
          <w:rFonts w:ascii="Verdana" w:hAnsi="Verdana"/>
          <w:color w:val="000000" w:themeColor="text1"/>
          <w:sz w:val="20"/>
          <w:szCs w:val="20"/>
          <w:lang w:val="en-US"/>
        </w:rPr>
        <w:t>.</w:t>
      </w:r>
      <w:r w:rsidR="002C6AC2" w:rsidRPr="6188EA84">
        <w:rPr>
          <w:rFonts w:ascii="Verdana" w:hAnsi="Verdana"/>
          <w:color w:val="000000" w:themeColor="text1"/>
          <w:sz w:val="20"/>
          <w:szCs w:val="20"/>
          <w:vertAlign w:val="superscript"/>
          <w:lang w:val="en-US"/>
        </w:rPr>
        <w:t>3</w:t>
      </w:r>
    </w:p>
    <w:p w14:paraId="7161BE61" w14:textId="77777777" w:rsidR="001A06ED" w:rsidRPr="00D53444" w:rsidRDefault="001A06ED" w:rsidP="001A06ED">
      <w:pPr>
        <w:jc w:val="both"/>
        <w:rPr>
          <w:color w:val="000000"/>
          <w:sz w:val="20"/>
          <w:szCs w:val="20"/>
          <w:lang w:val="en-US"/>
        </w:rPr>
      </w:pPr>
    </w:p>
    <w:p w14:paraId="793ED261" w14:textId="57AFEE3B" w:rsidR="00515574" w:rsidRPr="00D53444" w:rsidRDefault="00D53444" w:rsidP="001A06ED">
      <w:pPr>
        <w:jc w:val="both"/>
        <w:rPr>
          <w:rFonts w:ascii="Verdana" w:hAnsi="Verdana"/>
          <w:color w:val="000000"/>
          <w:sz w:val="20"/>
          <w:szCs w:val="20"/>
          <w:lang w:val="en-US"/>
        </w:rPr>
      </w:pPr>
      <w:r w:rsidRPr="6188EA84">
        <w:rPr>
          <w:rFonts w:ascii="Verdana" w:hAnsi="Verdana"/>
          <w:color w:val="000000" w:themeColor="text1"/>
          <w:sz w:val="20"/>
          <w:szCs w:val="20"/>
          <w:lang w:val="en-US"/>
        </w:rPr>
        <w:t xml:space="preserve">En novembre 2022, les directives de l'ESMO ont été mises à jour pour inclure Imfinzi + GemCis comme traitement de première intention préféré du </w:t>
      </w:r>
      <w:r w:rsidR="7D45208D" w:rsidRPr="6188EA84">
        <w:rPr>
          <w:rFonts w:ascii="Verdana" w:hAnsi="Verdana"/>
          <w:color w:val="000000" w:themeColor="text1"/>
          <w:sz w:val="20"/>
          <w:szCs w:val="20"/>
          <w:lang w:val="en-US"/>
        </w:rPr>
        <w:t>cancer des voies biliaires</w:t>
      </w:r>
      <w:r w:rsidRPr="6188EA84">
        <w:rPr>
          <w:rFonts w:ascii="Verdana" w:hAnsi="Verdana"/>
          <w:color w:val="000000" w:themeColor="text1"/>
          <w:sz w:val="20"/>
          <w:szCs w:val="20"/>
          <w:lang w:val="en-US"/>
        </w:rPr>
        <w:t xml:space="preserve"> avancé </w:t>
      </w:r>
      <w:r w:rsidR="00040701" w:rsidRPr="002E50FC">
        <w:rPr>
          <w:rFonts w:ascii="Verdana" w:hAnsi="Verdana"/>
          <w:color w:val="000000" w:themeColor="text1"/>
          <w:sz w:val="20"/>
          <w:szCs w:val="20"/>
          <w:lang w:val="en-US"/>
        </w:rPr>
        <w:t>[I, A; ESMO-Magnitude of Clinical Benefit (MCBS) v1.1 score: 4</w:t>
      </w:r>
      <w:r w:rsidR="00040701" w:rsidRPr="6188EA84">
        <w:rPr>
          <w:rFonts w:ascii="Verdana" w:hAnsi="Verdana"/>
          <w:color w:val="000000" w:themeColor="text1"/>
          <w:sz w:val="20"/>
          <w:szCs w:val="20"/>
          <w:lang w:val="en-US"/>
        </w:rPr>
        <w:t>].</w:t>
      </w:r>
      <w:r w:rsidR="002C6AC2" w:rsidRPr="6188EA84">
        <w:rPr>
          <w:rFonts w:ascii="Verdana" w:hAnsi="Verdana"/>
          <w:color w:val="000000" w:themeColor="text1"/>
          <w:sz w:val="20"/>
          <w:szCs w:val="20"/>
          <w:vertAlign w:val="superscript"/>
          <w:lang w:val="en-US"/>
        </w:rPr>
        <w:t>4</w:t>
      </w:r>
    </w:p>
    <w:p w14:paraId="7B2E97C7" w14:textId="024BCA3E" w:rsidR="00C56880" w:rsidRPr="002A2E76" w:rsidRDefault="002A2E76" w:rsidP="009A3AC0">
      <w:pPr>
        <w:jc w:val="both"/>
        <w:rPr>
          <w:rFonts w:ascii="Verdana" w:hAnsi="Verdana"/>
          <w:color w:val="000000"/>
          <w:sz w:val="20"/>
          <w:szCs w:val="20"/>
          <w:lang w:val="en-US"/>
        </w:rPr>
      </w:pPr>
      <w:r w:rsidRPr="6188EA84">
        <w:rPr>
          <w:rFonts w:ascii="Verdana" w:hAnsi="Verdana"/>
          <w:color w:val="000000" w:themeColor="text1"/>
          <w:sz w:val="20"/>
          <w:szCs w:val="20"/>
          <w:lang w:val="en-US"/>
        </w:rPr>
        <w:t>De plus, l</w:t>
      </w:r>
      <w:r w:rsidR="458B03E2" w:rsidRPr="6188EA84">
        <w:rPr>
          <w:rFonts w:ascii="Verdana" w:hAnsi="Verdana"/>
          <w:color w:val="000000" w:themeColor="text1"/>
          <w:sz w:val="20"/>
          <w:szCs w:val="20"/>
          <w:lang w:val="en-US"/>
        </w:rPr>
        <w:t>es</w:t>
      </w:r>
      <w:r w:rsidRPr="6188EA84">
        <w:rPr>
          <w:rFonts w:ascii="Verdana" w:hAnsi="Verdana"/>
          <w:color w:val="000000" w:themeColor="text1"/>
          <w:sz w:val="20"/>
          <w:szCs w:val="20"/>
          <w:lang w:val="en-US"/>
        </w:rPr>
        <w:t xml:space="preserve"> </w:t>
      </w:r>
      <w:r w:rsidR="6A8732C1" w:rsidRPr="6188EA84">
        <w:rPr>
          <w:rFonts w:ascii="Verdana" w:hAnsi="Verdana"/>
          <w:color w:val="000000" w:themeColor="text1"/>
          <w:sz w:val="20"/>
          <w:szCs w:val="20"/>
          <w:lang w:val="en-US"/>
        </w:rPr>
        <w:t>d</w:t>
      </w:r>
      <w:r w:rsidRPr="6188EA84">
        <w:rPr>
          <w:rFonts w:ascii="Verdana" w:hAnsi="Verdana"/>
          <w:color w:val="000000" w:themeColor="text1"/>
          <w:sz w:val="20"/>
          <w:szCs w:val="20"/>
          <w:lang w:val="en-US"/>
        </w:rPr>
        <w:t>irective</w:t>
      </w:r>
      <w:r w:rsidR="00C57224">
        <w:rPr>
          <w:rFonts w:ascii="Verdana" w:hAnsi="Verdana"/>
          <w:color w:val="000000" w:themeColor="text1"/>
          <w:sz w:val="20"/>
          <w:szCs w:val="20"/>
          <w:lang w:val="en-US"/>
        </w:rPr>
        <w:t>s</w:t>
      </w:r>
      <w:r w:rsidRPr="6188EA84">
        <w:rPr>
          <w:rFonts w:ascii="Verdana" w:hAnsi="Verdana"/>
          <w:color w:val="000000" w:themeColor="text1"/>
          <w:sz w:val="20"/>
          <w:szCs w:val="20"/>
          <w:lang w:val="en-US"/>
        </w:rPr>
        <w:t xml:space="preserve"> d</w:t>
      </w:r>
      <w:r w:rsidR="00C57224">
        <w:rPr>
          <w:rFonts w:ascii="Verdana" w:hAnsi="Verdana"/>
          <w:color w:val="000000" w:themeColor="text1"/>
          <w:sz w:val="20"/>
          <w:szCs w:val="20"/>
          <w:lang w:val="en-US"/>
        </w:rPr>
        <w:t>e la</w:t>
      </w:r>
      <w:r w:rsidRPr="6188EA84">
        <w:rPr>
          <w:rFonts w:ascii="Verdana" w:hAnsi="Verdana"/>
          <w:color w:val="000000" w:themeColor="text1"/>
          <w:sz w:val="20"/>
          <w:szCs w:val="20"/>
          <w:lang w:val="en-US"/>
        </w:rPr>
        <w:t xml:space="preserve"> NCCN pour les tumeurs hépatobiliaires (v1.2023) </w:t>
      </w:r>
      <w:r w:rsidR="12153365" w:rsidRPr="6188EA84">
        <w:rPr>
          <w:rFonts w:ascii="Verdana" w:hAnsi="Verdana"/>
          <w:color w:val="000000" w:themeColor="text1"/>
          <w:sz w:val="20"/>
          <w:szCs w:val="20"/>
          <w:lang w:val="en-US"/>
        </w:rPr>
        <w:t>ont</w:t>
      </w:r>
      <w:r w:rsidRPr="6188EA84">
        <w:rPr>
          <w:rFonts w:ascii="Verdana" w:hAnsi="Verdana"/>
          <w:color w:val="000000" w:themeColor="text1"/>
          <w:sz w:val="20"/>
          <w:szCs w:val="20"/>
          <w:lang w:val="en-US"/>
        </w:rPr>
        <w:t xml:space="preserve"> également été mise</w:t>
      </w:r>
      <w:r w:rsidR="56EC1DFC" w:rsidRPr="6188EA84">
        <w:rPr>
          <w:rFonts w:ascii="Verdana" w:hAnsi="Verdana"/>
          <w:color w:val="000000" w:themeColor="text1"/>
          <w:sz w:val="20"/>
          <w:szCs w:val="20"/>
          <w:lang w:val="en-US"/>
        </w:rPr>
        <w:t>s</w:t>
      </w:r>
      <w:r w:rsidRPr="6188EA84">
        <w:rPr>
          <w:rFonts w:ascii="Verdana" w:hAnsi="Verdana"/>
          <w:color w:val="000000" w:themeColor="text1"/>
          <w:sz w:val="20"/>
          <w:szCs w:val="20"/>
          <w:lang w:val="en-US"/>
        </w:rPr>
        <w:t xml:space="preserve"> à jour pour inclure Imfinzi + GemCis comme schéma thérapeutique préféré pour le traitement primaire des cancers des voies biliaires non résécables et métastatiques (</w:t>
      </w:r>
      <w:r w:rsidR="48330065" w:rsidRPr="6188EA84">
        <w:rPr>
          <w:rFonts w:ascii="Verdana" w:hAnsi="Verdana"/>
          <w:color w:val="000000" w:themeColor="text1"/>
          <w:sz w:val="20"/>
          <w:szCs w:val="20"/>
          <w:lang w:val="en-US"/>
        </w:rPr>
        <w:t>c</w:t>
      </w:r>
      <w:r w:rsidRPr="6188EA84">
        <w:rPr>
          <w:rFonts w:ascii="Verdana" w:hAnsi="Verdana"/>
          <w:color w:val="000000" w:themeColor="text1"/>
          <w:sz w:val="20"/>
          <w:szCs w:val="20"/>
          <w:lang w:val="en-US"/>
        </w:rPr>
        <w:t>atégorie 1)</w:t>
      </w:r>
      <w:r w:rsidR="00C208D8" w:rsidRPr="6188EA84">
        <w:rPr>
          <w:rFonts w:ascii="Verdana" w:hAnsi="Verdana"/>
          <w:color w:val="000000" w:themeColor="text1"/>
          <w:sz w:val="20"/>
          <w:szCs w:val="20"/>
          <w:lang w:val="en-US"/>
        </w:rPr>
        <w:t>.</w:t>
      </w:r>
      <w:r w:rsidR="002C6AC2" w:rsidRPr="6188EA84">
        <w:rPr>
          <w:rFonts w:ascii="Verdana" w:hAnsi="Verdana"/>
          <w:sz w:val="20"/>
          <w:szCs w:val="20"/>
          <w:vertAlign w:val="superscript"/>
          <w:lang w:val="en-US"/>
        </w:rPr>
        <w:t>5</w:t>
      </w:r>
      <w:r w:rsidR="00D64EE7" w:rsidRPr="6188EA84">
        <w:rPr>
          <w:rFonts w:ascii="Verdana" w:hAnsi="Verdana"/>
          <w:color w:val="FF0000"/>
          <w:sz w:val="20"/>
          <w:szCs w:val="20"/>
          <w:lang w:val="en-US"/>
        </w:rPr>
        <w:t xml:space="preserve"> </w:t>
      </w:r>
    </w:p>
    <w:p w14:paraId="3327A20A" w14:textId="77777777" w:rsidR="00CA74BB" w:rsidRPr="002A2E76" w:rsidRDefault="00CA74BB" w:rsidP="001A06ED">
      <w:pPr>
        <w:jc w:val="both"/>
        <w:rPr>
          <w:rFonts w:ascii="Verdana" w:hAnsi="Verdana"/>
          <w:color w:val="000000"/>
          <w:sz w:val="20"/>
          <w:szCs w:val="20"/>
          <w:lang w:val="en-US"/>
        </w:rPr>
      </w:pPr>
    </w:p>
    <w:p w14:paraId="2658E56C" w14:textId="6C66766C" w:rsidR="00F077E9" w:rsidRPr="00F020FA" w:rsidRDefault="002A2E76" w:rsidP="001A06ED">
      <w:pPr>
        <w:jc w:val="both"/>
        <w:rPr>
          <w:rFonts w:ascii="Verdana" w:hAnsi="Verdana"/>
          <w:color w:val="000000"/>
          <w:sz w:val="20"/>
          <w:szCs w:val="20"/>
          <w:lang w:val="en-US"/>
        </w:rPr>
      </w:pPr>
      <w:r w:rsidRPr="00F020FA">
        <w:rPr>
          <w:rFonts w:ascii="Verdana" w:hAnsi="Verdana"/>
          <w:color w:val="000000" w:themeColor="text1"/>
          <w:sz w:val="20"/>
          <w:szCs w:val="20"/>
          <w:lang w:val="en-US"/>
        </w:rPr>
        <w:t xml:space="preserve">Je souhaite par la présente demander la prise en charge des frais du traitement </w:t>
      </w:r>
      <w:r w:rsidR="1ECA4F12" w:rsidRPr="00F020FA">
        <w:rPr>
          <w:rFonts w:ascii="Verdana" w:hAnsi="Verdana"/>
          <w:color w:val="000000" w:themeColor="text1"/>
          <w:sz w:val="20"/>
          <w:szCs w:val="20"/>
          <w:lang w:val="en-US"/>
        </w:rPr>
        <w:t xml:space="preserve">par </w:t>
      </w:r>
      <w:r w:rsidRPr="00F020FA">
        <w:rPr>
          <w:rFonts w:ascii="Verdana" w:hAnsi="Verdana"/>
          <w:color w:val="000000" w:themeColor="text1"/>
          <w:sz w:val="20"/>
          <w:szCs w:val="20"/>
          <w:lang w:val="en-US"/>
        </w:rPr>
        <w:t>Imfinzi pour le patient susmentionné</w:t>
      </w:r>
      <w:r w:rsidR="007771E4" w:rsidRPr="00F020FA">
        <w:rPr>
          <w:rFonts w:ascii="Verdana" w:hAnsi="Verdana"/>
          <w:color w:val="000000" w:themeColor="text1"/>
          <w:sz w:val="20"/>
          <w:szCs w:val="20"/>
          <w:lang w:val="en-US"/>
        </w:rPr>
        <w:t>.</w:t>
      </w:r>
    </w:p>
    <w:p w14:paraId="2AA0DC54" w14:textId="77777777" w:rsidR="00E123DF" w:rsidRPr="00F020FA" w:rsidRDefault="00E123DF" w:rsidP="001A06ED">
      <w:pPr>
        <w:jc w:val="both"/>
        <w:rPr>
          <w:rFonts w:ascii="Verdana" w:hAnsi="Verdana"/>
          <w:color w:val="000000"/>
          <w:sz w:val="20"/>
          <w:szCs w:val="20"/>
          <w:lang w:val="en-US"/>
        </w:rPr>
      </w:pPr>
    </w:p>
    <w:p w14:paraId="14A60F4A" w14:textId="3385EAA8" w:rsidR="00E123DF" w:rsidRPr="00F020FA" w:rsidRDefault="00E123DF" w:rsidP="001A06ED">
      <w:pPr>
        <w:jc w:val="both"/>
        <w:rPr>
          <w:rFonts w:ascii="Verdana" w:hAnsi="Verdana"/>
          <w:color w:val="000000"/>
          <w:sz w:val="20"/>
          <w:szCs w:val="20"/>
          <w:lang w:val="de-DE"/>
        </w:rPr>
      </w:pPr>
      <w:r w:rsidRPr="00F020FA">
        <w:rPr>
          <w:rFonts w:ascii="Verdana" w:hAnsi="Verdana"/>
          <w:color w:val="000000"/>
          <w:sz w:val="20"/>
          <w:szCs w:val="20"/>
          <w:lang w:val="de-DE"/>
        </w:rPr>
        <w:lastRenderedPageBreak/>
        <w:t>Dr. med.</w:t>
      </w:r>
    </w:p>
    <w:p w14:paraId="6552C8B9" w14:textId="2CEE7145" w:rsidR="00160846" w:rsidRPr="00F020FA" w:rsidRDefault="00160846">
      <w:pPr>
        <w:rPr>
          <w:rFonts w:ascii="Verdana" w:hAnsi="Verdana"/>
          <w:sz w:val="20"/>
          <w:szCs w:val="20"/>
          <w:lang w:val="de-DE"/>
        </w:rPr>
      </w:pPr>
    </w:p>
    <w:p w14:paraId="20CF6144" w14:textId="77777777" w:rsidR="00BA432C" w:rsidRPr="00F020FA" w:rsidRDefault="00BA432C">
      <w:pPr>
        <w:rPr>
          <w:rFonts w:ascii="Verdana" w:hAnsi="Verdana"/>
          <w:sz w:val="16"/>
          <w:szCs w:val="16"/>
          <w:lang w:val="de-DE"/>
        </w:rPr>
      </w:pPr>
    </w:p>
    <w:p w14:paraId="527C1E23" w14:textId="60E1CA07" w:rsidR="002D62B2" w:rsidRPr="00222CF2" w:rsidRDefault="00222CF2">
      <w:pPr>
        <w:rPr>
          <w:rFonts w:ascii="Verdana" w:hAnsi="Verdana"/>
          <w:sz w:val="16"/>
          <w:szCs w:val="16"/>
          <w:lang w:val="de-DE"/>
        </w:rPr>
      </w:pPr>
      <w:r w:rsidRPr="00222CF2">
        <w:rPr>
          <w:rFonts w:ascii="Verdana" w:hAnsi="Verdana"/>
          <w:sz w:val="16"/>
          <w:szCs w:val="16"/>
          <w:lang w:val="de-DE"/>
        </w:rPr>
        <w:t>Annexe</w:t>
      </w:r>
      <w:r w:rsidR="002D62B2" w:rsidRPr="00222CF2">
        <w:rPr>
          <w:rFonts w:ascii="Verdana" w:hAnsi="Verdana"/>
          <w:sz w:val="16"/>
          <w:szCs w:val="16"/>
          <w:lang w:val="de-DE"/>
        </w:rPr>
        <w:t xml:space="preserve">: </w:t>
      </w:r>
    </w:p>
    <w:p w14:paraId="668E0E63" w14:textId="5E3610A4" w:rsidR="002D62B2" w:rsidRPr="00222CF2" w:rsidRDefault="00222CF2">
      <w:pPr>
        <w:rPr>
          <w:rFonts w:ascii="Verdana" w:hAnsi="Verdana"/>
          <w:lang w:val="de-DE"/>
        </w:rPr>
      </w:pPr>
      <w:r w:rsidRPr="00222CF2">
        <w:rPr>
          <w:rFonts w:ascii="Verdana" w:hAnsi="Verdana"/>
          <w:sz w:val="16"/>
          <w:szCs w:val="16"/>
          <w:lang w:val="de-DE"/>
        </w:rPr>
        <w:t>Histoire du patient</w:t>
      </w:r>
    </w:p>
    <w:p w14:paraId="54C162BB" w14:textId="77777777" w:rsidR="00F0759E" w:rsidRPr="00222CF2" w:rsidRDefault="00F0759E">
      <w:pPr>
        <w:rPr>
          <w:rFonts w:ascii="Verdana" w:hAnsi="Verdana"/>
          <w:sz w:val="16"/>
          <w:szCs w:val="16"/>
          <w:lang w:val="de-DE"/>
        </w:rPr>
      </w:pPr>
    </w:p>
    <w:p w14:paraId="1B602A3C" w14:textId="5D340BB8" w:rsidR="002D62B2" w:rsidRPr="00222CF2" w:rsidRDefault="00E330FA">
      <w:pPr>
        <w:rPr>
          <w:rFonts w:ascii="Verdana" w:hAnsi="Verdana"/>
          <w:sz w:val="16"/>
          <w:szCs w:val="16"/>
          <w:lang w:val="de-DE"/>
        </w:rPr>
      </w:pPr>
      <w:r>
        <w:rPr>
          <w:rFonts w:ascii="Verdana" w:hAnsi="Verdana"/>
          <w:sz w:val="16"/>
          <w:szCs w:val="16"/>
          <w:lang w:val="de-DE"/>
        </w:rPr>
        <w:t>R</w:t>
      </w:r>
      <w:r w:rsidRPr="00E330FA">
        <w:rPr>
          <w:rFonts w:ascii="Verdana" w:hAnsi="Verdana"/>
          <w:sz w:val="16"/>
          <w:szCs w:val="16"/>
          <w:lang w:val="de-DE"/>
        </w:rPr>
        <w:t>éférences</w:t>
      </w:r>
      <w:r w:rsidR="002D62B2" w:rsidRPr="00222CF2">
        <w:rPr>
          <w:rFonts w:ascii="Verdana" w:hAnsi="Verdana"/>
          <w:sz w:val="16"/>
          <w:szCs w:val="16"/>
          <w:lang w:val="de-DE"/>
        </w:rPr>
        <w:t>:</w:t>
      </w:r>
    </w:p>
    <w:p w14:paraId="1516587E" w14:textId="33D7F284" w:rsidR="005D612A" w:rsidRPr="005D612A" w:rsidRDefault="0002267E">
      <w:pPr>
        <w:pStyle w:val="ListParagraph"/>
        <w:numPr>
          <w:ilvl w:val="0"/>
          <w:numId w:val="2"/>
        </w:numPr>
        <w:ind w:left="284" w:hanging="284"/>
        <w:jc w:val="both"/>
        <w:rPr>
          <w:rFonts w:ascii="Verdana" w:hAnsi="Verdana"/>
          <w:sz w:val="16"/>
          <w:szCs w:val="16"/>
        </w:rPr>
      </w:pPr>
      <w:r w:rsidRPr="005D612A">
        <w:rPr>
          <w:rFonts w:ascii="Verdana" w:hAnsi="Verdana"/>
          <w:sz w:val="16"/>
          <w:szCs w:val="16"/>
          <w:lang w:val="de-CH"/>
        </w:rPr>
        <w:t xml:space="preserve">Imfinzi </w:t>
      </w:r>
      <w:r w:rsidR="00017BBB" w:rsidRPr="005D612A">
        <w:rPr>
          <w:rFonts w:ascii="Verdana" w:hAnsi="Verdana"/>
          <w:sz w:val="16"/>
          <w:szCs w:val="16"/>
          <w:lang w:val="de-CH"/>
        </w:rPr>
        <w:t>[</w:t>
      </w:r>
      <w:r w:rsidRPr="005D612A">
        <w:rPr>
          <w:rFonts w:ascii="Verdana" w:hAnsi="Verdana"/>
          <w:sz w:val="16"/>
          <w:szCs w:val="16"/>
          <w:lang w:val="de-CH"/>
        </w:rPr>
        <w:t>Information for Healthcare Professionals</w:t>
      </w:r>
      <w:r w:rsidR="00017BBB" w:rsidRPr="005D612A">
        <w:rPr>
          <w:rFonts w:ascii="Verdana" w:hAnsi="Verdana"/>
          <w:sz w:val="16"/>
          <w:szCs w:val="16"/>
          <w:lang w:val="de-CH"/>
        </w:rPr>
        <w:t>]</w:t>
      </w:r>
      <w:r w:rsidR="0015166D" w:rsidRPr="00705333">
        <w:t xml:space="preserve"> </w:t>
      </w:r>
      <w:r w:rsidR="0092595C" w:rsidRPr="005D612A">
        <w:rPr>
          <w:rFonts w:ascii="Verdana" w:hAnsi="Verdana"/>
          <w:sz w:val="16"/>
          <w:szCs w:val="16"/>
          <w:lang w:val="de-CH"/>
        </w:rPr>
        <w:t>https://www.swissmedicinfo.ch</w:t>
      </w:r>
    </w:p>
    <w:p w14:paraId="047E0045" w14:textId="19AD471E" w:rsidR="00E83500" w:rsidRPr="00D03402" w:rsidRDefault="00E83500" w:rsidP="005525D5">
      <w:pPr>
        <w:pStyle w:val="ListParagraph"/>
        <w:numPr>
          <w:ilvl w:val="0"/>
          <w:numId w:val="2"/>
        </w:numPr>
        <w:ind w:left="284" w:hanging="284"/>
        <w:jc w:val="both"/>
        <w:rPr>
          <w:rFonts w:ascii="Verdana" w:hAnsi="Verdana"/>
          <w:sz w:val="16"/>
          <w:szCs w:val="16"/>
        </w:rPr>
      </w:pPr>
      <w:r w:rsidRPr="00460466">
        <w:rPr>
          <w:rFonts w:ascii="Verdana" w:hAnsi="Verdana" w:cs="Arial"/>
          <w:sz w:val="16"/>
          <w:szCs w:val="16"/>
        </w:rPr>
        <w:t xml:space="preserve">Oh D-Y, He AR, Qin S, et al.  Durvalumab plus gemcitabine and cisplatin in advanced biliary tract cancer [article and supplementary appendix]. </w:t>
      </w:r>
      <w:r w:rsidRPr="00460466">
        <w:rPr>
          <w:rFonts w:ascii="Verdana" w:hAnsi="Verdana" w:cs="Arial"/>
          <w:i/>
          <w:sz w:val="16"/>
          <w:szCs w:val="16"/>
        </w:rPr>
        <w:t>NEJM Evid</w:t>
      </w:r>
      <w:r w:rsidRPr="00460466">
        <w:rPr>
          <w:rFonts w:ascii="Verdana" w:hAnsi="Verdana" w:cs="Arial"/>
          <w:sz w:val="16"/>
          <w:szCs w:val="16"/>
        </w:rPr>
        <w:t>. 2022;1(8). DOI:</w:t>
      </w:r>
      <w:r w:rsidRPr="00460466">
        <w:rPr>
          <w:rFonts w:ascii="Verdana" w:eastAsia="Times New Roman" w:hAnsi="Verdana" w:cs="Arial"/>
          <w:sz w:val="16"/>
          <w:szCs w:val="16"/>
        </w:rPr>
        <w:t>10.1056/EVIDoa2200015</w:t>
      </w:r>
    </w:p>
    <w:p w14:paraId="6E32DF5E" w14:textId="77777777" w:rsidR="00A34F40" w:rsidRPr="00A34F40" w:rsidRDefault="00CD2010" w:rsidP="005525D5">
      <w:pPr>
        <w:pStyle w:val="ListParagraph"/>
        <w:numPr>
          <w:ilvl w:val="0"/>
          <w:numId w:val="2"/>
        </w:numPr>
        <w:ind w:left="284" w:hanging="284"/>
        <w:jc w:val="both"/>
        <w:rPr>
          <w:rFonts w:ascii="Verdana" w:hAnsi="Verdana"/>
          <w:sz w:val="16"/>
          <w:szCs w:val="16"/>
        </w:rPr>
      </w:pPr>
      <w:r w:rsidRPr="00CD2010">
        <w:rPr>
          <w:rFonts w:ascii="Verdana" w:eastAsia="Times New Roman" w:hAnsi="Verdana" w:cs="Arial"/>
          <w:sz w:val="16"/>
          <w:szCs w:val="16"/>
        </w:rPr>
        <w:t>Oh D-Y et al. Updated overall survival from the Phase 3 TOPAZ-1 study of durvalumab or placebo plus GemCis in patients with advanced BTC [poster]. Presented at: European Society of Medical Oncology (ESMO); September 9-13, 2022. Paris, France. Poster 56P</w:t>
      </w:r>
    </w:p>
    <w:p w14:paraId="7D35CC3A" w14:textId="0D681D25" w:rsidR="00967D9B" w:rsidRDefault="00967D9B" w:rsidP="005525D5">
      <w:pPr>
        <w:pStyle w:val="ListParagraph"/>
        <w:numPr>
          <w:ilvl w:val="0"/>
          <w:numId w:val="2"/>
        </w:numPr>
        <w:ind w:left="284" w:hanging="284"/>
        <w:jc w:val="both"/>
        <w:rPr>
          <w:rFonts w:ascii="Verdana" w:hAnsi="Verdana"/>
          <w:sz w:val="16"/>
          <w:szCs w:val="16"/>
        </w:rPr>
      </w:pPr>
      <w:r w:rsidRPr="00967D9B">
        <w:rPr>
          <w:rFonts w:ascii="Verdana" w:hAnsi="Verdana"/>
          <w:sz w:val="16"/>
          <w:szCs w:val="16"/>
        </w:rPr>
        <w:t>Vogel A, Bridgewater J, Edeline J, et al. Biliary tract cancer: ESMO Clinical Practice Guideline for diagnosis, treatment and follow-up [published online ahead of print November 10, 2022]. Ann Oncol. 2022. Doi: 10.1016/j.annonc.2022.10.506</w:t>
      </w:r>
    </w:p>
    <w:p w14:paraId="4A786E13" w14:textId="30BF20D1" w:rsidR="00234D06" w:rsidRDefault="00234D06" w:rsidP="00F979D1">
      <w:pPr>
        <w:pStyle w:val="ListParagraph"/>
        <w:numPr>
          <w:ilvl w:val="0"/>
          <w:numId w:val="2"/>
        </w:numPr>
        <w:ind w:left="284" w:hanging="284"/>
        <w:rPr>
          <w:rFonts w:ascii="Verdana" w:hAnsi="Verdana"/>
          <w:sz w:val="16"/>
          <w:szCs w:val="16"/>
        </w:rPr>
      </w:pPr>
      <w:r w:rsidRPr="00234D06">
        <w:rPr>
          <w:rFonts w:ascii="Verdana" w:hAnsi="Verdana"/>
          <w:sz w:val="16"/>
          <w:szCs w:val="16"/>
        </w:rPr>
        <w:t xml:space="preserve">NCCN Guidelines.  </w:t>
      </w:r>
      <w:r w:rsidR="002B6E39">
        <w:rPr>
          <w:rFonts w:ascii="Verdana" w:hAnsi="Verdana"/>
          <w:sz w:val="16"/>
          <w:szCs w:val="16"/>
        </w:rPr>
        <w:t xml:space="preserve">Biliary Tract </w:t>
      </w:r>
      <w:r w:rsidRPr="00234D06">
        <w:rPr>
          <w:rFonts w:ascii="Verdana" w:hAnsi="Verdana"/>
          <w:sz w:val="16"/>
          <w:szCs w:val="16"/>
        </w:rPr>
        <w:t>Cancers v</w:t>
      </w:r>
      <w:r w:rsidR="004F31EB">
        <w:rPr>
          <w:rFonts w:ascii="Verdana" w:hAnsi="Verdana"/>
          <w:sz w:val="16"/>
          <w:szCs w:val="16"/>
        </w:rPr>
        <w:t>1</w:t>
      </w:r>
      <w:r w:rsidRPr="00234D06">
        <w:rPr>
          <w:rFonts w:ascii="Verdana" w:hAnsi="Verdana"/>
          <w:sz w:val="16"/>
          <w:szCs w:val="16"/>
        </w:rPr>
        <w:t>.202</w:t>
      </w:r>
      <w:r w:rsidR="004F31EB">
        <w:rPr>
          <w:rFonts w:ascii="Verdana" w:hAnsi="Verdana"/>
          <w:sz w:val="16"/>
          <w:szCs w:val="16"/>
        </w:rPr>
        <w:t>3</w:t>
      </w:r>
      <w:r w:rsidRPr="00234D06">
        <w:rPr>
          <w:rFonts w:ascii="Verdana" w:hAnsi="Verdana"/>
          <w:sz w:val="16"/>
          <w:szCs w:val="16"/>
        </w:rPr>
        <w:t xml:space="preserve">. Accessed </w:t>
      </w:r>
      <w:r w:rsidR="002B6E39">
        <w:rPr>
          <w:rFonts w:ascii="Verdana" w:hAnsi="Verdana"/>
          <w:sz w:val="16"/>
          <w:szCs w:val="16"/>
        </w:rPr>
        <w:t>April</w:t>
      </w:r>
      <w:r w:rsidRPr="00234D06">
        <w:rPr>
          <w:rFonts w:ascii="Verdana" w:hAnsi="Verdana"/>
          <w:sz w:val="16"/>
          <w:szCs w:val="16"/>
        </w:rPr>
        <w:t xml:space="preserve"> 202</w:t>
      </w:r>
      <w:r w:rsidR="004F31EB">
        <w:rPr>
          <w:rFonts w:ascii="Verdana" w:hAnsi="Verdana"/>
          <w:sz w:val="16"/>
          <w:szCs w:val="16"/>
        </w:rPr>
        <w:t>3</w:t>
      </w:r>
      <w:r w:rsidRPr="00234D06">
        <w:rPr>
          <w:rFonts w:ascii="Verdana" w:hAnsi="Verdana"/>
          <w:sz w:val="16"/>
          <w:szCs w:val="16"/>
        </w:rPr>
        <w:t>.</w:t>
      </w:r>
      <w:r w:rsidR="00F979D1">
        <w:rPr>
          <w:rFonts w:ascii="Verdana" w:hAnsi="Verdana"/>
          <w:sz w:val="16"/>
          <w:szCs w:val="16"/>
        </w:rPr>
        <w:t xml:space="preserve"> </w:t>
      </w:r>
      <w:hyperlink r:id="rId11" w:history="1">
        <w:r w:rsidR="00F979D1" w:rsidRPr="009D3FC8">
          <w:rPr>
            <w:rStyle w:val="Hyperlink"/>
            <w:rFonts w:ascii="Verdana" w:hAnsi="Verdana"/>
            <w:sz w:val="16"/>
            <w:szCs w:val="16"/>
          </w:rPr>
          <w:t>https://www.nccn.org/guidelines/guidelines-detail?category=1&amp;id=1517</w:t>
        </w:r>
      </w:hyperlink>
    </w:p>
    <w:p w14:paraId="3BBC0D74" w14:textId="77777777" w:rsidR="00F979D1" w:rsidRPr="00460466" w:rsidRDefault="00F979D1" w:rsidP="00F979D1">
      <w:pPr>
        <w:pStyle w:val="ListParagraph"/>
        <w:ind w:left="284"/>
        <w:jc w:val="both"/>
        <w:rPr>
          <w:rFonts w:ascii="Verdana" w:hAnsi="Verdana"/>
          <w:sz w:val="16"/>
          <w:szCs w:val="16"/>
        </w:rPr>
      </w:pPr>
    </w:p>
    <w:sectPr w:rsidR="00F979D1" w:rsidRPr="00460466" w:rsidSect="00F96E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C9F5" w14:textId="77777777" w:rsidR="00DC3DDB" w:rsidRDefault="00DC3DDB" w:rsidP="00064242">
      <w:r>
        <w:separator/>
      </w:r>
    </w:p>
  </w:endnote>
  <w:endnote w:type="continuationSeparator" w:id="0">
    <w:p w14:paraId="24B2CB74" w14:textId="77777777" w:rsidR="00DC3DDB" w:rsidRDefault="00DC3DDB" w:rsidP="00064242">
      <w:r>
        <w:continuationSeparator/>
      </w:r>
    </w:p>
  </w:endnote>
  <w:endnote w:type="continuationNotice" w:id="1">
    <w:p w14:paraId="32F1B1BE" w14:textId="77777777" w:rsidR="00DC3DDB" w:rsidRDefault="00DC3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3D1D" w14:textId="77777777" w:rsidR="00253989" w:rsidRDefault="00253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69E6" w14:textId="191442A3" w:rsidR="00064242" w:rsidRPr="00064242" w:rsidRDefault="00B82FCA">
    <w:pPr>
      <w:pStyle w:val="Footer"/>
      <w:rPr>
        <w:lang w:val="en-US"/>
      </w:rPr>
    </w:pPr>
    <w:r w:rsidRPr="00B82FCA">
      <w:t>CH-7</w:t>
    </w:r>
    <w:r w:rsidR="00253989">
      <w:t>862</w:t>
    </w:r>
    <w:r>
      <w:t xml:space="preserve"> </w:t>
    </w:r>
    <w:r>
      <w:rPr>
        <w:lang w:val="en-US"/>
      </w:rPr>
      <w:t>May</w:t>
    </w:r>
    <w:r w:rsidR="00064242">
      <w:rPr>
        <w:lang w:val="en-U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9EE9" w14:textId="77777777" w:rsidR="00253989" w:rsidRDefault="00253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A3A1" w14:textId="77777777" w:rsidR="00DC3DDB" w:rsidRDefault="00DC3DDB" w:rsidP="00064242">
      <w:r>
        <w:separator/>
      </w:r>
    </w:p>
  </w:footnote>
  <w:footnote w:type="continuationSeparator" w:id="0">
    <w:p w14:paraId="23D87573" w14:textId="77777777" w:rsidR="00DC3DDB" w:rsidRDefault="00DC3DDB" w:rsidP="00064242">
      <w:r>
        <w:continuationSeparator/>
      </w:r>
    </w:p>
  </w:footnote>
  <w:footnote w:type="continuationNotice" w:id="1">
    <w:p w14:paraId="25F031D6" w14:textId="77777777" w:rsidR="00DC3DDB" w:rsidRDefault="00DC3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173A" w14:textId="77777777" w:rsidR="00253989" w:rsidRDefault="00253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85AF" w14:textId="77777777" w:rsidR="00253989" w:rsidRDefault="00253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5557" w14:textId="77777777" w:rsidR="00253989" w:rsidRDefault="00253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55F5"/>
    <w:multiLevelType w:val="hybridMultilevel"/>
    <w:tmpl w:val="9FC6F100"/>
    <w:lvl w:ilvl="0" w:tplc="BEEE34E4">
      <w:start w:val="1"/>
      <w:numFmt w:val="bullet"/>
      <w:lvlText w:val="·"/>
      <w:lvlJc w:val="left"/>
      <w:pPr>
        <w:ind w:left="144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FE54CB"/>
    <w:multiLevelType w:val="hybridMultilevel"/>
    <w:tmpl w:val="AD6C9FAE"/>
    <w:lvl w:ilvl="0" w:tplc="04090003">
      <w:start w:val="1"/>
      <w:numFmt w:val="bullet"/>
      <w:lvlText w:val="o"/>
      <w:lvlJc w:val="left"/>
      <w:pPr>
        <w:tabs>
          <w:tab w:val="num" w:pos="1789"/>
        </w:tabs>
        <w:ind w:left="1789" w:hanging="360"/>
      </w:pPr>
      <w:rPr>
        <w:rFonts w:ascii="Courier New" w:hAnsi="Courier New" w:cs="Courier New"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5A4D05AD"/>
    <w:multiLevelType w:val="hybridMultilevel"/>
    <w:tmpl w:val="F7F619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953F29"/>
    <w:multiLevelType w:val="hybridMultilevel"/>
    <w:tmpl w:val="74DEEA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FA03104">
      <w:start w:val="1"/>
      <w:numFmt w:val="bullet"/>
      <w:lvlText w:val="•"/>
      <w:lvlJc w:val="left"/>
      <w:pPr>
        <w:tabs>
          <w:tab w:val="num" w:pos="1800"/>
        </w:tabs>
        <w:ind w:left="1800" w:hanging="360"/>
      </w:pPr>
      <w:rPr>
        <w:rFonts w:ascii="Arial" w:hAnsi="Arial" w:hint="default"/>
      </w:rPr>
    </w:lvl>
    <w:lvl w:ilvl="3" w:tplc="C8922C60">
      <w:start w:val="1"/>
      <w:numFmt w:val="bullet"/>
      <w:lvlText w:val="•"/>
      <w:lvlJc w:val="left"/>
      <w:pPr>
        <w:tabs>
          <w:tab w:val="num" w:pos="2520"/>
        </w:tabs>
        <w:ind w:left="2520" w:hanging="360"/>
      </w:pPr>
      <w:rPr>
        <w:rFonts w:ascii="Arial" w:hAnsi="Arial" w:hint="default"/>
      </w:rPr>
    </w:lvl>
    <w:lvl w:ilvl="4" w:tplc="7FA663FE">
      <w:start w:val="16"/>
      <w:numFmt w:val="bullet"/>
      <w:lvlText w:val="-"/>
      <w:lvlJc w:val="left"/>
      <w:pPr>
        <w:ind w:left="3240" w:hanging="360"/>
      </w:pPr>
      <w:rPr>
        <w:rFonts w:ascii="Arial" w:eastAsia="Arial" w:hAnsi="Arial" w:cs="Arial" w:hint="default"/>
        <w:b/>
        <w:i w:val="0"/>
      </w:rPr>
    </w:lvl>
    <w:lvl w:ilvl="5" w:tplc="D45A2014" w:tentative="1">
      <w:start w:val="1"/>
      <w:numFmt w:val="bullet"/>
      <w:lvlText w:val="•"/>
      <w:lvlJc w:val="left"/>
      <w:pPr>
        <w:tabs>
          <w:tab w:val="num" w:pos="3960"/>
        </w:tabs>
        <w:ind w:left="3960" w:hanging="360"/>
      </w:pPr>
      <w:rPr>
        <w:rFonts w:ascii="Arial" w:hAnsi="Arial" w:hint="default"/>
      </w:rPr>
    </w:lvl>
    <w:lvl w:ilvl="6" w:tplc="EE967F66" w:tentative="1">
      <w:start w:val="1"/>
      <w:numFmt w:val="bullet"/>
      <w:lvlText w:val="•"/>
      <w:lvlJc w:val="left"/>
      <w:pPr>
        <w:tabs>
          <w:tab w:val="num" w:pos="4680"/>
        </w:tabs>
        <w:ind w:left="4680" w:hanging="360"/>
      </w:pPr>
      <w:rPr>
        <w:rFonts w:ascii="Arial" w:hAnsi="Arial" w:hint="default"/>
      </w:rPr>
    </w:lvl>
    <w:lvl w:ilvl="7" w:tplc="E3886512" w:tentative="1">
      <w:start w:val="1"/>
      <w:numFmt w:val="bullet"/>
      <w:lvlText w:val="•"/>
      <w:lvlJc w:val="left"/>
      <w:pPr>
        <w:tabs>
          <w:tab w:val="num" w:pos="5400"/>
        </w:tabs>
        <w:ind w:left="5400" w:hanging="360"/>
      </w:pPr>
      <w:rPr>
        <w:rFonts w:ascii="Arial" w:hAnsi="Arial" w:hint="default"/>
      </w:rPr>
    </w:lvl>
    <w:lvl w:ilvl="8" w:tplc="E92CB9C0" w:tentative="1">
      <w:start w:val="1"/>
      <w:numFmt w:val="bullet"/>
      <w:lvlText w:val="•"/>
      <w:lvlJc w:val="left"/>
      <w:pPr>
        <w:tabs>
          <w:tab w:val="num" w:pos="6120"/>
        </w:tabs>
        <w:ind w:left="6120" w:hanging="360"/>
      </w:pPr>
      <w:rPr>
        <w:rFonts w:ascii="Arial" w:hAnsi="Arial" w:hint="default"/>
      </w:rPr>
    </w:lvl>
  </w:abstractNum>
  <w:num w:numId="1" w16cid:durableId="396904542">
    <w:abstractNumId w:val="3"/>
  </w:num>
  <w:num w:numId="2" w16cid:durableId="704599071">
    <w:abstractNumId w:val="2"/>
  </w:num>
  <w:num w:numId="3" w16cid:durableId="1466507784">
    <w:abstractNumId w:val="0"/>
  </w:num>
  <w:num w:numId="4" w16cid:durableId="2141724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73"/>
    <w:rsid w:val="00000200"/>
    <w:rsid w:val="000021C4"/>
    <w:rsid w:val="00017BBB"/>
    <w:rsid w:val="00020A1C"/>
    <w:rsid w:val="0002267E"/>
    <w:rsid w:val="0002798B"/>
    <w:rsid w:val="00030B67"/>
    <w:rsid w:val="00040701"/>
    <w:rsid w:val="000407D8"/>
    <w:rsid w:val="00064242"/>
    <w:rsid w:val="000826BC"/>
    <w:rsid w:val="00083002"/>
    <w:rsid w:val="000844B1"/>
    <w:rsid w:val="000A0856"/>
    <w:rsid w:val="000D2C04"/>
    <w:rsid w:val="000D3328"/>
    <w:rsid w:val="000D5353"/>
    <w:rsid w:val="000F40BB"/>
    <w:rsid w:val="000F423F"/>
    <w:rsid w:val="000F541A"/>
    <w:rsid w:val="000F6007"/>
    <w:rsid w:val="00107F10"/>
    <w:rsid w:val="00122949"/>
    <w:rsid w:val="001316E3"/>
    <w:rsid w:val="0015166D"/>
    <w:rsid w:val="00160846"/>
    <w:rsid w:val="00163BD9"/>
    <w:rsid w:val="00164B65"/>
    <w:rsid w:val="00165EC7"/>
    <w:rsid w:val="001803A4"/>
    <w:rsid w:val="001877BE"/>
    <w:rsid w:val="001A06ED"/>
    <w:rsid w:val="001A58DE"/>
    <w:rsid w:val="001C65AF"/>
    <w:rsid w:val="001C7590"/>
    <w:rsid w:val="001D2F0E"/>
    <w:rsid w:val="001D54C8"/>
    <w:rsid w:val="001D6141"/>
    <w:rsid w:val="001E3D79"/>
    <w:rsid w:val="001E5198"/>
    <w:rsid w:val="001F41D3"/>
    <w:rsid w:val="001F622A"/>
    <w:rsid w:val="002028B4"/>
    <w:rsid w:val="00203B2A"/>
    <w:rsid w:val="00210484"/>
    <w:rsid w:val="00217E50"/>
    <w:rsid w:val="00222CF2"/>
    <w:rsid w:val="002346DF"/>
    <w:rsid w:val="00234D06"/>
    <w:rsid w:val="00246017"/>
    <w:rsid w:val="002467F1"/>
    <w:rsid w:val="00253989"/>
    <w:rsid w:val="00264639"/>
    <w:rsid w:val="002678A9"/>
    <w:rsid w:val="00271582"/>
    <w:rsid w:val="002A2E76"/>
    <w:rsid w:val="002B0338"/>
    <w:rsid w:val="002B1E18"/>
    <w:rsid w:val="002B5D72"/>
    <w:rsid w:val="002B6E39"/>
    <w:rsid w:val="002C51FA"/>
    <w:rsid w:val="002C6402"/>
    <w:rsid w:val="002C6AC2"/>
    <w:rsid w:val="002D62B2"/>
    <w:rsid w:val="002E1B79"/>
    <w:rsid w:val="002E1E23"/>
    <w:rsid w:val="002E2026"/>
    <w:rsid w:val="002E3D6A"/>
    <w:rsid w:val="002E50FC"/>
    <w:rsid w:val="002F40AE"/>
    <w:rsid w:val="0032101D"/>
    <w:rsid w:val="0032412B"/>
    <w:rsid w:val="00324FB3"/>
    <w:rsid w:val="003336D3"/>
    <w:rsid w:val="0035708E"/>
    <w:rsid w:val="00367DAD"/>
    <w:rsid w:val="0037629E"/>
    <w:rsid w:val="00377B4E"/>
    <w:rsid w:val="00382E69"/>
    <w:rsid w:val="00382EFD"/>
    <w:rsid w:val="0039477C"/>
    <w:rsid w:val="00397BFC"/>
    <w:rsid w:val="003C6317"/>
    <w:rsid w:val="003D5E31"/>
    <w:rsid w:val="003E4107"/>
    <w:rsid w:val="00411077"/>
    <w:rsid w:val="00416C70"/>
    <w:rsid w:val="004432DE"/>
    <w:rsid w:val="00455399"/>
    <w:rsid w:val="00457BDC"/>
    <w:rsid w:val="00460466"/>
    <w:rsid w:val="00462E16"/>
    <w:rsid w:val="0048283C"/>
    <w:rsid w:val="0048682F"/>
    <w:rsid w:val="004928EA"/>
    <w:rsid w:val="00494564"/>
    <w:rsid w:val="004961AC"/>
    <w:rsid w:val="004B01E3"/>
    <w:rsid w:val="004B6E0E"/>
    <w:rsid w:val="004C187F"/>
    <w:rsid w:val="004C588F"/>
    <w:rsid w:val="004D0DA7"/>
    <w:rsid w:val="004D3FE3"/>
    <w:rsid w:val="004E03DE"/>
    <w:rsid w:val="004E3084"/>
    <w:rsid w:val="004F31EB"/>
    <w:rsid w:val="0050175C"/>
    <w:rsid w:val="0050550A"/>
    <w:rsid w:val="00510B15"/>
    <w:rsid w:val="00512723"/>
    <w:rsid w:val="005145B8"/>
    <w:rsid w:val="00515574"/>
    <w:rsid w:val="00517270"/>
    <w:rsid w:val="00522B0E"/>
    <w:rsid w:val="00522F3A"/>
    <w:rsid w:val="005525D5"/>
    <w:rsid w:val="0056543F"/>
    <w:rsid w:val="00570D01"/>
    <w:rsid w:val="00575BC5"/>
    <w:rsid w:val="0058273F"/>
    <w:rsid w:val="00594326"/>
    <w:rsid w:val="005A3E2B"/>
    <w:rsid w:val="005B6FD1"/>
    <w:rsid w:val="005C1BA8"/>
    <w:rsid w:val="005D612A"/>
    <w:rsid w:val="005D7AFB"/>
    <w:rsid w:val="005E2C7C"/>
    <w:rsid w:val="00622943"/>
    <w:rsid w:val="00633BC8"/>
    <w:rsid w:val="006431FC"/>
    <w:rsid w:val="006636A9"/>
    <w:rsid w:val="00664B68"/>
    <w:rsid w:val="00680F4E"/>
    <w:rsid w:val="006A0359"/>
    <w:rsid w:val="006A1E42"/>
    <w:rsid w:val="006B0E67"/>
    <w:rsid w:val="006C68D2"/>
    <w:rsid w:val="006E07A0"/>
    <w:rsid w:val="006E3096"/>
    <w:rsid w:val="006E70F9"/>
    <w:rsid w:val="006F68D5"/>
    <w:rsid w:val="00705333"/>
    <w:rsid w:val="00713E51"/>
    <w:rsid w:val="007155BB"/>
    <w:rsid w:val="007179C5"/>
    <w:rsid w:val="007301C2"/>
    <w:rsid w:val="00740E42"/>
    <w:rsid w:val="00745F31"/>
    <w:rsid w:val="007509D2"/>
    <w:rsid w:val="00756D0E"/>
    <w:rsid w:val="00756DCD"/>
    <w:rsid w:val="0076428C"/>
    <w:rsid w:val="007645A0"/>
    <w:rsid w:val="007771E4"/>
    <w:rsid w:val="00785E9E"/>
    <w:rsid w:val="00787534"/>
    <w:rsid w:val="00795685"/>
    <w:rsid w:val="007B25E3"/>
    <w:rsid w:val="007D4532"/>
    <w:rsid w:val="007E3915"/>
    <w:rsid w:val="007E3A18"/>
    <w:rsid w:val="007E702A"/>
    <w:rsid w:val="007F037D"/>
    <w:rsid w:val="007F2AFD"/>
    <w:rsid w:val="007F793B"/>
    <w:rsid w:val="00800FA0"/>
    <w:rsid w:val="00826A80"/>
    <w:rsid w:val="00840A5F"/>
    <w:rsid w:val="008423BE"/>
    <w:rsid w:val="00861BE9"/>
    <w:rsid w:val="00876DB1"/>
    <w:rsid w:val="00877FCD"/>
    <w:rsid w:val="00882D8B"/>
    <w:rsid w:val="008932B7"/>
    <w:rsid w:val="008939AB"/>
    <w:rsid w:val="008A34F9"/>
    <w:rsid w:val="008A44E2"/>
    <w:rsid w:val="008A53EF"/>
    <w:rsid w:val="008C35DD"/>
    <w:rsid w:val="008F0FAA"/>
    <w:rsid w:val="00911D27"/>
    <w:rsid w:val="00914173"/>
    <w:rsid w:val="009141C9"/>
    <w:rsid w:val="00914FBD"/>
    <w:rsid w:val="00915BA3"/>
    <w:rsid w:val="00917D74"/>
    <w:rsid w:val="00923EF2"/>
    <w:rsid w:val="0092595C"/>
    <w:rsid w:val="0093659E"/>
    <w:rsid w:val="009440BC"/>
    <w:rsid w:val="0094570A"/>
    <w:rsid w:val="00962378"/>
    <w:rsid w:val="00967D9B"/>
    <w:rsid w:val="0097341E"/>
    <w:rsid w:val="00973590"/>
    <w:rsid w:val="00987E52"/>
    <w:rsid w:val="009916E8"/>
    <w:rsid w:val="009A0061"/>
    <w:rsid w:val="009A0BE2"/>
    <w:rsid w:val="009A220E"/>
    <w:rsid w:val="009A3AC0"/>
    <w:rsid w:val="009A5186"/>
    <w:rsid w:val="009B2E27"/>
    <w:rsid w:val="009E0709"/>
    <w:rsid w:val="009F1994"/>
    <w:rsid w:val="00A023A6"/>
    <w:rsid w:val="00A07542"/>
    <w:rsid w:val="00A34F40"/>
    <w:rsid w:val="00A61B3F"/>
    <w:rsid w:val="00A70734"/>
    <w:rsid w:val="00A724D4"/>
    <w:rsid w:val="00A753BF"/>
    <w:rsid w:val="00A761FF"/>
    <w:rsid w:val="00A82E86"/>
    <w:rsid w:val="00A938D3"/>
    <w:rsid w:val="00AA2973"/>
    <w:rsid w:val="00AA666F"/>
    <w:rsid w:val="00AB5013"/>
    <w:rsid w:val="00AC1969"/>
    <w:rsid w:val="00AC3DDD"/>
    <w:rsid w:val="00AD3C38"/>
    <w:rsid w:val="00AF59CA"/>
    <w:rsid w:val="00B12C8C"/>
    <w:rsid w:val="00B13F18"/>
    <w:rsid w:val="00B358DA"/>
    <w:rsid w:val="00B3640B"/>
    <w:rsid w:val="00B4353B"/>
    <w:rsid w:val="00B75A8B"/>
    <w:rsid w:val="00B82FCA"/>
    <w:rsid w:val="00B86F75"/>
    <w:rsid w:val="00B90449"/>
    <w:rsid w:val="00B95849"/>
    <w:rsid w:val="00BA432C"/>
    <w:rsid w:val="00BA650C"/>
    <w:rsid w:val="00BA7046"/>
    <w:rsid w:val="00BC4F28"/>
    <w:rsid w:val="00BC6F98"/>
    <w:rsid w:val="00BD1125"/>
    <w:rsid w:val="00BD1655"/>
    <w:rsid w:val="00BE364D"/>
    <w:rsid w:val="00BE7D1B"/>
    <w:rsid w:val="00BF682D"/>
    <w:rsid w:val="00C208D8"/>
    <w:rsid w:val="00C22CCE"/>
    <w:rsid w:val="00C4168B"/>
    <w:rsid w:val="00C52E1D"/>
    <w:rsid w:val="00C56880"/>
    <w:rsid w:val="00C57224"/>
    <w:rsid w:val="00C63167"/>
    <w:rsid w:val="00C63660"/>
    <w:rsid w:val="00C76C07"/>
    <w:rsid w:val="00C803E8"/>
    <w:rsid w:val="00C81CBC"/>
    <w:rsid w:val="00C8341C"/>
    <w:rsid w:val="00CA6CDF"/>
    <w:rsid w:val="00CA74BB"/>
    <w:rsid w:val="00CB7834"/>
    <w:rsid w:val="00CC7A14"/>
    <w:rsid w:val="00CD2010"/>
    <w:rsid w:val="00CF47AE"/>
    <w:rsid w:val="00CF7C2E"/>
    <w:rsid w:val="00D01A31"/>
    <w:rsid w:val="00D022E4"/>
    <w:rsid w:val="00D03402"/>
    <w:rsid w:val="00D05C08"/>
    <w:rsid w:val="00D07974"/>
    <w:rsid w:val="00D22C03"/>
    <w:rsid w:val="00D23617"/>
    <w:rsid w:val="00D35523"/>
    <w:rsid w:val="00D53444"/>
    <w:rsid w:val="00D55A98"/>
    <w:rsid w:val="00D6185E"/>
    <w:rsid w:val="00D64EE7"/>
    <w:rsid w:val="00DB5651"/>
    <w:rsid w:val="00DC3DDB"/>
    <w:rsid w:val="00DF7A2E"/>
    <w:rsid w:val="00E02269"/>
    <w:rsid w:val="00E123DF"/>
    <w:rsid w:val="00E132AB"/>
    <w:rsid w:val="00E179A5"/>
    <w:rsid w:val="00E17D43"/>
    <w:rsid w:val="00E239E3"/>
    <w:rsid w:val="00E24B29"/>
    <w:rsid w:val="00E27E45"/>
    <w:rsid w:val="00E330FA"/>
    <w:rsid w:val="00E44D92"/>
    <w:rsid w:val="00E73996"/>
    <w:rsid w:val="00E760C6"/>
    <w:rsid w:val="00E80CD1"/>
    <w:rsid w:val="00E83500"/>
    <w:rsid w:val="00E839B0"/>
    <w:rsid w:val="00EA6D32"/>
    <w:rsid w:val="00EB1D0B"/>
    <w:rsid w:val="00EB7F02"/>
    <w:rsid w:val="00EC4090"/>
    <w:rsid w:val="00EC4891"/>
    <w:rsid w:val="00EF119F"/>
    <w:rsid w:val="00EF73DE"/>
    <w:rsid w:val="00F013E9"/>
    <w:rsid w:val="00F020FA"/>
    <w:rsid w:val="00F02CFB"/>
    <w:rsid w:val="00F0759E"/>
    <w:rsid w:val="00F077E9"/>
    <w:rsid w:val="00F11876"/>
    <w:rsid w:val="00F305EF"/>
    <w:rsid w:val="00F32637"/>
    <w:rsid w:val="00F3685C"/>
    <w:rsid w:val="00F4156F"/>
    <w:rsid w:val="00F443C4"/>
    <w:rsid w:val="00F6597B"/>
    <w:rsid w:val="00F6643A"/>
    <w:rsid w:val="00F74CB6"/>
    <w:rsid w:val="00F94B02"/>
    <w:rsid w:val="00F96E44"/>
    <w:rsid w:val="00F979D1"/>
    <w:rsid w:val="00FA3B58"/>
    <w:rsid w:val="00FB6176"/>
    <w:rsid w:val="00FB7C1C"/>
    <w:rsid w:val="00FC2CC2"/>
    <w:rsid w:val="00FD2F76"/>
    <w:rsid w:val="00FD7334"/>
    <w:rsid w:val="00FE2267"/>
    <w:rsid w:val="00FE3F9C"/>
    <w:rsid w:val="00FE6474"/>
    <w:rsid w:val="04F577B7"/>
    <w:rsid w:val="07B9E314"/>
    <w:rsid w:val="080A564D"/>
    <w:rsid w:val="0A00683C"/>
    <w:rsid w:val="0E1536FE"/>
    <w:rsid w:val="12153365"/>
    <w:rsid w:val="16145601"/>
    <w:rsid w:val="1730AC07"/>
    <w:rsid w:val="1A3CE593"/>
    <w:rsid w:val="1ECA4F12"/>
    <w:rsid w:val="242D8170"/>
    <w:rsid w:val="2592E56D"/>
    <w:rsid w:val="283A92C4"/>
    <w:rsid w:val="2E01C6DA"/>
    <w:rsid w:val="2E7B7600"/>
    <w:rsid w:val="373A1233"/>
    <w:rsid w:val="449B96DC"/>
    <w:rsid w:val="4555797D"/>
    <w:rsid w:val="458B03E2"/>
    <w:rsid w:val="464072D4"/>
    <w:rsid w:val="47AB2879"/>
    <w:rsid w:val="48330065"/>
    <w:rsid w:val="4A27075E"/>
    <w:rsid w:val="4C810336"/>
    <w:rsid w:val="529D6446"/>
    <w:rsid w:val="54997070"/>
    <w:rsid w:val="55B59C1F"/>
    <w:rsid w:val="56EC1DFC"/>
    <w:rsid w:val="5FB59F65"/>
    <w:rsid w:val="616EC608"/>
    <w:rsid w:val="6188EA84"/>
    <w:rsid w:val="64B04C8E"/>
    <w:rsid w:val="6A8732C1"/>
    <w:rsid w:val="73555052"/>
    <w:rsid w:val="7AFD3AFF"/>
    <w:rsid w:val="7C0666AE"/>
    <w:rsid w:val="7C990B60"/>
    <w:rsid w:val="7D45208D"/>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642A"/>
  <w15:chartTrackingRefBased/>
  <w15:docId w15:val="{8226AFBB-4D98-431D-9216-F3224BBE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1 Bulleted List,Summary Bullets,Footer Setting,Bullet List,FooterText,List Paragraph1,numbered,Paragraphe de liste1,Bulletr List Paragraph,列出段落,列出段落1,List Paragraph2,List Paragraph21,Párrafo de lista1,Parágrafo da Lista1,リスト段落1"/>
    <w:basedOn w:val="Normal"/>
    <w:uiPriority w:val="34"/>
    <w:qFormat/>
    <w:rsid w:val="00A938D3"/>
    <w:pPr>
      <w:spacing w:after="200" w:line="276" w:lineRule="auto"/>
      <w:ind w:left="720"/>
      <w:contextualSpacing/>
    </w:pPr>
    <w:rPr>
      <w:rFonts w:eastAsia="SimSun" w:cs="Times New Roman"/>
      <w:lang w:val="en-US"/>
    </w:rPr>
  </w:style>
  <w:style w:type="paragraph" w:styleId="Header">
    <w:name w:val="header"/>
    <w:basedOn w:val="Normal"/>
    <w:link w:val="HeaderChar"/>
    <w:uiPriority w:val="99"/>
    <w:unhideWhenUsed/>
    <w:rsid w:val="00064242"/>
    <w:pPr>
      <w:tabs>
        <w:tab w:val="center" w:pos="4513"/>
        <w:tab w:val="right" w:pos="9026"/>
      </w:tabs>
    </w:pPr>
  </w:style>
  <w:style w:type="character" w:customStyle="1" w:styleId="HeaderChar">
    <w:name w:val="Header Char"/>
    <w:basedOn w:val="DefaultParagraphFont"/>
    <w:link w:val="Header"/>
    <w:uiPriority w:val="99"/>
    <w:rsid w:val="00064242"/>
    <w:rPr>
      <w:rFonts w:ascii="Calibri" w:hAnsi="Calibri" w:cs="Calibri"/>
    </w:rPr>
  </w:style>
  <w:style w:type="paragraph" w:styleId="Footer">
    <w:name w:val="footer"/>
    <w:basedOn w:val="Normal"/>
    <w:link w:val="FooterChar"/>
    <w:uiPriority w:val="99"/>
    <w:unhideWhenUsed/>
    <w:rsid w:val="00064242"/>
    <w:pPr>
      <w:tabs>
        <w:tab w:val="center" w:pos="4513"/>
        <w:tab w:val="right" w:pos="9026"/>
      </w:tabs>
    </w:pPr>
  </w:style>
  <w:style w:type="character" w:customStyle="1" w:styleId="FooterChar">
    <w:name w:val="Footer Char"/>
    <w:basedOn w:val="DefaultParagraphFont"/>
    <w:link w:val="Footer"/>
    <w:uiPriority w:val="99"/>
    <w:rsid w:val="00064242"/>
    <w:rPr>
      <w:rFonts w:ascii="Calibri" w:hAnsi="Calibri" w:cs="Calibri"/>
    </w:rPr>
  </w:style>
  <w:style w:type="character" w:styleId="CommentReference">
    <w:name w:val="annotation reference"/>
    <w:basedOn w:val="DefaultParagraphFont"/>
    <w:uiPriority w:val="99"/>
    <w:semiHidden/>
    <w:unhideWhenUsed/>
    <w:rsid w:val="009F1994"/>
    <w:rPr>
      <w:sz w:val="16"/>
      <w:szCs w:val="16"/>
    </w:rPr>
  </w:style>
  <w:style w:type="paragraph" w:styleId="CommentText">
    <w:name w:val="annotation text"/>
    <w:basedOn w:val="Normal"/>
    <w:link w:val="CommentTextChar"/>
    <w:uiPriority w:val="99"/>
    <w:semiHidden/>
    <w:unhideWhenUsed/>
    <w:rsid w:val="009F1994"/>
    <w:rPr>
      <w:sz w:val="20"/>
      <w:szCs w:val="20"/>
    </w:rPr>
  </w:style>
  <w:style w:type="character" w:customStyle="1" w:styleId="CommentTextChar">
    <w:name w:val="Comment Text Char"/>
    <w:basedOn w:val="DefaultParagraphFont"/>
    <w:link w:val="CommentText"/>
    <w:uiPriority w:val="99"/>
    <w:semiHidden/>
    <w:rsid w:val="009F199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F1994"/>
    <w:rPr>
      <w:b/>
      <w:bCs/>
    </w:rPr>
  </w:style>
  <w:style w:type="character" w:customStyle="1" w:styleId="CommentSubjectChar">
    <w:name w:val="Comment Subject Char"/>
    <w:basedOn w:val="CommentTextChar"/>
    <w:link w:val="CommentSubject"/>
    <w:uiPriority w:val="99"/>
    <w:semiHidden/>
    <w:rsid w:val="009F1994"/>
    <w:rPr>
      <w:rFonts w:ascii="Calibri" w:hAnsi="Calibri" w:cs="Calibri"/>
      <w:b/>
      <w:bCs/>
      <w:sz w:val="20"/>
      <w:szCs w:val="20"/>
    </w:rPr>
  </w:style>
  <w:style w:type="paragraph" w:styleId="Revision">
    <w:name w:val="Revision"/>
    <w:hidden/>
    <w:uiPriority w:val="99"/>
    <w:semiHidden/>
    <w:rsid w:val="0056543F"/>
    <w:pPr>
      <w:spacing w:after="0" w:line="240" w:lineRule="auto"/>
    </w:pPr>
    <w:rPr>
      <w:rFonts w:ascii="Calibri" w:hAnsi="Calibri" w:cs="Calibri"/>
    </w:rPr>
  </w:style>
  <w:style w:type="character" w:styleId="Hyperlink">
    <w:name w:val="Hyperlink"/>
    <w:basedOn w:val="DefaultParagraphFont"/>
    <w:uiPriority w:val="99"/>
    <w:unhideWhenUsed/>
    <w:rsid w:val="00F979D1"/>
    <w:rPr>
      <w:color w:val="0563C1" w:themeColor="hyperlink"/>
      <w:u w:val="single"/>
    </w:rPr>
  </w:style>
  <w:style w:type="character" w:styleId="UnresolvedMention">
    <w:name w:val="Unresolved Mention"/>
    <w:basedOn w:val="DefaultParagraphFont"/>
    <w:uiPriority w:val="99"/>
    <w:semiHidden/>
    <w:unhideWhenUsed/>
    <w:rsid w:val="00F979D1"/>
    <w:rPr>
      <w:color w:val="605E5C"/>
      <w:shd w:val="clear" w:color="auto" w:fill="E1DFDD"/>
    </w:rPr>
  </w:style>
  <w:style w:type="character" w:styleId="FollowedHyperlink">
    <w:name w:val="FollowedHyperlink"/>
    <w:basedOn w:val="DefaultParagraphFont"/>
    <w:uiPriority w:val="99"/>
    <w:semiHidden/>
    <w:unhideWhenUsed/>
    <w:rsid w:val="002B6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cn.org/guidelines/guidelines-detail?category=1&amp;id=151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ee89e71-04cd-405e-9ca3-99e020c1694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98921D8C2A441489577DE371C1E3080" ma:contentTypeVersion="18" ma:contentTypeDescription="Create a new document." ma:contentTypeScope="" ma:versionID="b6caa6088f39955bb791335b238dd4d5">
  <xsd:schema xmlns:xsd="http://www.w3.org/2001/XMLSchema" xmlns:xs="http://www.w3.org/2001/XMLSchema" xmlns:p="http://schemas.microsoft.com/office/2006/metadata/properties" xmlns:ns2="44a56295-c29e-4898-8136-a54736c65b82" xmlns:ns3="21928201-840e-40f5-a6ff-12effcc015a5" xmlns:ns4="ef439064-d120-4eea-8544-947ffa937be7" targetNamespace="http://schemas.microsoft.com/office/2006/metadata/properties" ma:root="true" ma:fieldsID="7f0e0617b8244946eeb03f2ac49e2a81" ns2:_="" ns3:_="" ns4:_="">
    <xsd:import namespace="44a56295-c29e-4898-8136-a54736c65b82"/>
    <xsd:import namespace="21928201-840e-40f5-a6ff-12effcc015a5"/>
    <xsd:import namespace="ef439064-d120-4eea-8544-947ffa937be7"/>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5" nillable="true" ma:displayName="Taxonomy Catch All Column" ma:hidden="true" ma:list="{8eb3872e-3db9-441a-9388-e55d17c3066d}" ma:internalName="TaxCatchAll" ma:showField="CatchAllData" ma:web="ef439064-d120-4eea-8544-947ffa937b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928201-840e-40f5-a6ff-12effcc015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39064-d120-4eea-8544-947ffa937b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lcf76f155ced4ddcb4097134ff3c332f xmlns="21928201-840e-40f5-a6ff-12effcc015a5">
      <Terms xmlns="http://schemas.microsoft.com/office/infopath/2007/PartnerControls"/>
    </lcf76f155ced4ddcb4097134ff3c332f>
    <TaxCatchAll xmlns="44a56295-c29e-4898-8136-a54736c65b82" xsi:nil="true"/>
    <Descriptions xmlns="44a56295-c29e-4898-8136-a54736c65b82" xsi:nil="true"/>
  </documentManagement>
</p:properties>
</file>

<file path=customXml/itemProps1.xml><?xml version="1.0" encoding="utf-8"?>
<ds:datastoreItem xmlns:ds="http://schemas.openxmlformats.org/officeDocument/2006/customXml" ds:itemID="{B0FBCFED-6371-468B-A5A6-536F0BAA3E49}">
  <ds:schemaRefs>
    <ds:schemaRef ds:uri="http://schemas.microsoft.com/sharepoint/v3/contenttype/forms"/>
  </ds:schemaRefs>
</ds:datastoreItem>
</file>

<file path=customXml/itemProps2.xml><?xml version="1.0" encoding="utf-8"?>
<ds:datastoreItem xmlns:ds="http://schemas.openxmlformats.org/officeDocument/2006/customXml" ds:itemID="{90302C01-F392-40DF-9DBF-68D03C683E6E}">
  <ds:schemaRefs>
    <ds:schemaRef ds:uri="Microsoft.SharePoint.Taxonomy.ContentTypeSync"/>
  </ds:schemaRefs>
</ds:datastoreItem>
</file>

<file path=customXml/itemProps3.xml><?xml version="1.0" encoding="utf-8"?>
<ds:datastoreItem xmlns:ds="http://schemas.openxmlformats.org/officeDocument/2006/customXml" ds:itemID="{23F4E49C-F88D-431F-8A1B-770996B48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21928201-840e-40f5-a6ff-12effcc015a5"/>
    <ds:schemaRef ds:uri="ef439064-d120-4eea-8544-947ffa937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1C30C-C97F-45A5-AA02-64F583F8E682}"/>
</file>

<file path=docProps/app.xml><?xml version="1.0" encoding="utf-8"?>
<Properties xmlns="http://schemas.openxmlformats.org/officeDocument/2006/extended-properties" xmlns:vt="http://schemas.openxmlformats.org/officeDocument/2006/docPropsVTypes">
  <Template>Normal</Template>
  <TotalTime>6</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Links>
    <vt:vector size="6" baseType="variant">
      <vt:variant>
        <vt:i4>5636097</vt:i4>
      </vt:variant>
      <vt:variant>
        <vt:i4>0</vt:i4>
      </vt:variant>
      <vt:variant>
        <vt:i4>0</vt:i4>
      </vt:variant>
      <vt:variant>
        <vt:i4>5</vt:i4>
      </vt:variant>
      <vt:variant>
        <vt:lpwstr>https://www.nccn.org/guidelines/guidelines-detail?category=1&amp;id=1517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Sanja</dc:creator>
  <cp:keywords/>
  <dc:description/>
  <cp:lastModifiedBy>Follia, Valeria</cp:lastModifiedBy>
  <cp:revision>42</cp:revision>
  <dcterms:created xsi:type="dcterms:W3CDTF">2023-05-11T12:46:00Z</dcterms:created>
  <dcterms:modified xsi:type="dcterms:W3CDTF">2023-05-23T11:23:00Z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0x010100D98921D8C2A441489577DE371C1E3080</vt:lpwstr>
  </property>
</Properties>
</file>